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top w:w="15" w:type="dxa"/>
          <w:left w:w="15" w:type="dxa"/>
          <w:bottom w:w="15" w:type="dxa"/>
          <w:right w:w="15" w:type="dxa"/>
        </w:tblCellMar>
        <w:tblLook w:val="0600"/>
      </w:tblPr>
      <w:tblGrid>
        <w:gridCol w:w="1440"/>
        <w:gridCol w:w="1440"/>
        <w:gridCol w:w="1440"/>
        <w:gridCol w:w="1440"/>
      </w:tblGrid>
      <w:tr>
        <w:trPr>
          <w:trHeight w:val="0"/>
        </w:trPr>
        <w:tc>
          <w:tcPr>
            <w:tcW w:w="2076"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5416"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2076"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p>
        </w:tc>
      </w:tr>
      <w:tr>
        <w:trPr>
          <w:trHeight w:val="0"/>
        </w:trPr>
        <w:tc>
          <w:tcPr>
            <w:tcW w:w="2076" w:type="dxa"/>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5416" w:type="dxa"/>
            <w:gridSpan w:val="2"/>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Стандартная операционная процедура</w:t>
            </w:r>
          </w:p>
          <w:p>
            <w:pPr>
              <w:spacing w:line="240" w:lineRule="auto"/>
              <w:jc w:val="center"/>
              <w:rPr>
                <w:rFonts w:hAnsi="Times New Roman" w:cs="Times New Roman"/>
                <w:color w:val="000000"/>
                <w:sz w:val="24"/>
                <w:szCs w:val="24"/>
              </w:rPr>
            </w:pPr>
            <w:r>
              <w:rPr>
                <w:rFonts w:hAnsi="Times New Roman" w:cs="Times New Roman"/>
                <w:color w:val="000000"/>
                <w:sz w:val="24"/>
                <w:szCs w:val="24"/>
              </w:rPr>
              <w:t>«Организация и проведение мониторинга безопасности лекарственных препаратов, регистрации побочных действий, серьезных нежелательных реакций, непредвиденных нежелательных реакций при применении лекарственных препаратов для медицинского применения и медицинских изделий (фармаконадзор)»</w:t>
            </w:r>
          </w:p>
        </w:tc>
        <w:tc>
          <w:tcPr>
            <w:tcW w:w="2076" w:type="dxa"/>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2076" w:type="dxa"/>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5416" w:type="dxa"/>
            <w:gridSpan w:val="2"/>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xml:space="preserve">Лист 1 из </w:t>
            </w:r>
          </w:p>
        </w:tc>
      </w:tr>
      <w:tr>
        <w:trPr>
          <w:trHeight w:val="0"/>
        </w:trPr>
        <w:tc>
          <w:tcPr>
            <w:tcW w:w="2076" w:type="dxa"/>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5416" w:type="dxa"/>
            <w:gridSpan w:val="2"/>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Редакция 1</w:t>
            </w:r>
          </w:p>
        </w:tc>
      </w:tr>
      <w:tr>
        <w:trPr>
          <w:trHeight w:val="0"/>
        </w:trPr>
        <w:tc>
          <w:tcPr>
            <w:tcW w:w="20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Утвержден</w:t>
            </w:r>
          </w:p>
        </w:tc>
        <w:tc>
          <w:tcPr>
            <w:tcW w:w="5416"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Приказом от «___» ________ 20___ г. № ______</w:t>
            </w:r>
          </w:p>
        </w:tc>
        <w:tc>
          <w:tcPr>
            <w:tcW w:w="20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20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Действует</w:t>
            </w:r>
          </w:p>
        </w:tc>
        <w:tc>
          <w:tcPr>
            <w:tcW w:w="270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с «___» ________ 20___ г.</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Дата пересмотра</w:t>
            </w:r>
          </w:p>
        </w:tc>
        <w:tc>
          <w:tcPr>
            <w:tcW w:w="20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«___» _________ 20___ г.</w:t>
            </w:r>
          </w:p>
        </w:tc>
      </w:tr>
      <w:tr>
        <w:trPr>
          <w:trHeight w:val="0"/>
        </w:trPr>
        <w:tc>
          <w:tcPr>
            <w:tcW w:w="20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Распределение:</w:t>
            </w:r>
          </w:p>
        </w:tc>
        <w:tc>
          <w:tcPr>
            <w:tcW w:w="270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0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20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Оригинал</w:t>
            </w:r>
          </w:p>
        </w:tc>
        <w:tc>
          <w:tcPr>
            <w:tcW w:w="270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189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Копия</w:t>
            </w:r>
          </w:p>
        </w:tc>
        <w:tc>
          <w:tcPr>
            <w:tcW w:w="20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r>
    </w:tbl>
    <w:tbl>
      <w:tblPr>
        <w:tblW w:w="5000" w:type="pct"/>
        <w:tblCellMar>
          <w:top w:w="15" w:type="dxa"/>
          <w:left w:w="15" w:type="dxa"/>
          <w:bottom w:w="15" w:type="dxa"/>
          <w:right w:w="15" w:type="dxa"/>
        </w:tblCellMar>
        <w:tblLook w:val="0600"/>
      </w:tblPr>
      <w:tblGrid>
        <w:gridCol w:w="1440"/>
        <w:gridCol w:w="1440"/>
        <w:gridCol w:w="1440"/>
        <w:gridCol w:w="1440"/>
        <w:gridCol w:w="1440"/>
      </w:tblGrid>
      <w:tr>
        <w:trPr>
          <w:trHeight w:val="0"/>
        </w:trPr>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Ответственность</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Должность</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Ф. И. О.</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Подпись</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Дата</w:t>
            </w:r>
          </w:p>
        </w:tc>
      </w:tr>
      <w:tr>
        <w:trPr>
          <w:trHeight w:val="0"/>
        </w:trPr>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Утвердил</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Главный врач</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Согласовал</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Согласовал</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Согласовал</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Разработал</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Разработал</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w:t>
      </w:r>
    </w:p>
    <w:p>
      <w:pPr>
        <w:spacing w:line="240" w:lineRule="auto"/>
        <w:rPr>
          <w:rFonts w:hAnsi="Times New Roman" w:cs="Times New Roman"/>
          <w:color w:val="000000"/>
          <w:sz w:val="24"/>
          <w:szCs w:val="24"/>
        </w:rPr>
      </w:pPr>
      <w:r>
        <w:rPr>
          <w:rFonts w:hAnsi="Times New Roman" w:cs="Times New Roman"/>
          <w:color w:val="000000"/>
          <w:sz w:val="24"/>
          <w:szCs w:val="24"/>
        </w:rPr>
        <w:t>1. Область применения и цель создания</w:t>
      </w:r>
    </w:p>
    <w:p>
      <w:pPr>
        <w:spacing w:line="240" w:lineRule="auto"/>
        <w:rPr>
          <w:rFonts w:hAnsi="Times New Roman" w:cs="Times New Roman"/>
          <w:color w:val="000000"/>
          <w:sz w:val="24"/>
          <w:szCs w:val="24"/>
        </w:rPr>
      </w:pPr>
      <w:r>
        <w:rPr>
          <w:rFonts w:hAnsi="Times New Roman" w:cs="Times New Roman"/>
          <w:color w:val="000000"/>
          <w:sz w:val="24"/>
          <w:szCs w:val="24"/>
        </w:rPr>
        <w:t>2. Нормативные документы</w:t>
      </w:r>
    </w:p>
    <w:p>
      <w:pPr>
        <w:spacing w:line="240" w:lineRule="auto"/>
        <w:rPr>
          <w:rFonts w:hAnsi="Times New Roman" w:cs="Times New Roman"/>
          <w:color w:val="000000"/>
          <w:sz w:val="24"/>
          <w:szCs w:val="24"/>
        </w:rPr>
      </w:pPr>
      <w:r>
        <w:rPr>
          <w:rFonts w:hAnsi="Times New Roman" w:cs="Times New Roman"/>
          <w:color w:val="000000"/>
          <w:sz w:val="24"/>
          <w:szCs w:val="24"/>
        </w:rPr>
        <w:t>3. Основные термины и определения</w:t>
      </w:r>
    </w:p>
    <w:p>
      <w:pPr>
        <w:spacing w:line="240" w:lineRule="auto"/>
        <w:rPr>
          <w:rFonts w:hAnsi="Times New Roman" w:cs="Times New Roman"/>
          <w:color w:val="000000"/>
          <w:sz w:val="24"/>
          <w:szCs w:val="24"/>
        </w:rPr>
      </w:pPr>
      <w:r>
        <w:rPr>
          <w:rFonts w:hAnsi="Times New Roman" w:cs="Times New Roman"/>
          <w:color w:val="000000"/>
          <w:sz w:val="24"/>
          <w:szCs w:val="24"/>
        </w:rPr>
        <w:t>4. Персонал и ответственность</w:t>
      </w:r>
    </w:p>
    <w:p>
      <w:pPr>
        <w:spacing w:line="240" w:lineRule="auto"/>
        <w:rPr>
          <w:rFonts w:hAnsi="Times New Roman" w:cs="Times New Roman"/>
          <w:color w:val="000000"/>
          <w:sz w:val="24"/>
          <w:szCs w:val="24"/>
        </w:rPr>
      </w:pPr>
      <w:r>
        <w:rPr>
          <w:rFonts w:hAnsi="Times New Roman" w:cs="Times New Roman"/>
          <w:color w:val="000000"/>
          <w:sz w:val="24"/>
          <w:szCs w:val="24"/>
        </w:rPr>
        <w:t>5. Описание процедуры</w:t>
      </w:r>
    </w:p>
    <w:p>
      <w:pPr>
        <w:spacing w:line="240" w:lineRule="auto"/>
        <w:rPr>
          <w:rFonts w:hAnsi="Times New Roman" w:cs="Times New Roman"/>
          <w:color w:val="000000"/>
          <w:sz w:val="24"/>
          <w:szCs w:val="24"/>
        </w:rPr>
      </w:pPr>
      <w:r>
        <w:rPr>
          <w:rFonts w:hAnsi="Times New Roman" w:cs="Times New Roman"/>
          <w:color w:val="000000"/>
          <w:sz w:val="24"/>
          <w:szCs w:val="24"/>
        </w:rPr>
        <w:t>5.1. Общие сведения</w:t>
      </w:r>
    </w:p>
    <w:p>
      <w:pPr>
        <w:spacing w:line="240" w:lineRule="auto"/>
        <w:rPr>
          <w:rFonts w:hAnsi="Times New Roman" w:cs="Times New Roman"/>
          <w:color w:val="000000"/>
          <w:sz w:val="24"/>
          <w:szCs w:val="24"/>
        </w:rPr>
      </w:pPr>
      <w:r>
        <w:rPr>
          <w:rFonts w:hAnsi="Times New Roman" w:cs="Times New Roman"/>
          <w:color w:val="000000"/>
          <w:sz w:val="24"/>
          <w:szCs w:val="24"/>
        </w:rPr>
        <w:t>5.2. Источники сообщений о безопасности лекарственных препаратов</w:t>
      </w:r>
    </w:p>
    <w:p>
      <w:pPr>
        <w:spacing w:line="240" w:lineRule="auto"/>
        <w:rPr>
          <w:rFonts w:hAnsi="Times New Roman" w:cs="Times New Roman"/>
          <w:color w:val="000000"/>
          <w:sz w:val="24"/>
          <w:szCs w:val="24"/>
        </w:rPr>
      </w:pPr>
      <w:r>
        <w:rPr>
          <w:rFonts w:hAnsi="Times New Roman" w:cs="Times New Roman"/>
          <w:color w:val="000000"/>
          <w:sz w:val="24"/>
          <w:szCs w:val="24"/>
        </w:rPr>
        <w:t>5.3. Алгоритм действий в случае развития неблагоприятных побочных реакций на лекарственные средства и медицинские изделия врача отделения</w:t>
      </w:r>
    </w:p>
    <w:p>
      <w:pPr>
        <w:spacing w:line="240" w:lineRule="auto"/>
        <w:rPr>
          <w:rFonts w:hAnsi="Times New Roman" w:cs="Times New Roman"/>
          <w:color w:val="000000"/>
          <w:sz w:val="24"/>
          <w:szCs w:val="24"/>
        </w:rPr>
      </w:pPr>
      <w:r>
        <w:rPr>
          <w:rFonts w:hAnsi="Times New Roman" w:cs="Times New Roman"/>
          <w:color w:val="000000"/>
          <w:sz w:val="24"/>
          <w:szCs w:val="24"/>
        </w:rPr>
        <w:t>5.4. Порядок предоставления сведений и отчетов по безопасности лекарственных препаратов в Росздравнадзор ответственным по вопросам мониторинга безопасности ЛС и МИ</w:t>
      </w:r>
    </w:p>
    <w:p>
      <w:pPr>
        <w:spacing w:line="240" w:lineRule="auto"/>
        <w:rPr>
          <w:rFonts w:hAnsi="Times New Roman" w:cs="Times New Roman"/>
          <w:color w:val="000000"/>
          <w:sz w:val="24"/>
          <w:szCs w:val="24"/>
        </w:rPr>
      </w:pPr>
      <w:r>
        <w:rPr>
          <w:rFonts w:hAnsi="Times New Roman" w:cs="Times New Roman"/>
          <w:color w:val="000000"/>
          <w:sz w:val="24"/>
          <w:szCs w:val="24"/>
        </w:rPr>
        <w:t>5.5. Документация системы качества фармаконадзора в СООД</w:t>
      </w:r>
    </w:p>
    <w:p>
      <w:pPr>
        <w:spacing w:line="240" w:lineRule="auto"/>
        <w:rPr>
          <w:rFonts w:hAnsi="Times New Roman" w:cs="Times New Roman"/>
          <w:color w:val="000000"/>
          <w:sz w:val="24"/>
          <w:szCs w:val="24"/>
        </w:rPr>
      </w:pPr>
      <w:r>
        <w:rPr>
          <w:rFonts w:hAnsi="Times New Roman" w:cs="Times New Roman"/>
          <w:color w:val="000000"/>
          <w:sz w:val="24"/>
          <w:szCs w:val="24"/>
        </w:rPr>
        <w:t>5.6. Информация о результатах фармаконадзора</w:t>
      </w:r>
    </w:p>
    <w:p>
      <w:pPr>
        <w:spacing w:line="240" w:lineRule="auto"/>
        <w:rPr>
          <w:rFonts w:hAnsi="Times New Roman" w:cs="Times New Roman"/>
          <w:color w:val="000000"/>
          <w:sz w:val="24"/>
          <w:szCs w:val="24"/>
        </w:rPr>
      </w:pPr>
      <w:r>
        <w:rPr>
          <w:rFonts w:hAnsi="Times New Roman" w:cs="Times New Roman"/>
          <w:color w:val="000000"/>
          <w:sz w:val="24"/>
          <w:szCs w:val="24"/>
        </w:rPr>
        <w:t>6. Алгоритм оценки неблагоприятной побочной реакции</w:t>
      </w:r>
    </w:p>
    <w:p>
      <w:pPr>
        <w:spacing w:line="240" w:lineRule="auto"/>
        <w:rPr>
          <w:rFonts w:hAnsi="Times New Roman" w:cs="Times New Roman"/>
          <w:color w:val="000000"/>
          <w:sz w:val="24"/>
          <w:szCs w:val="24"/>
        </w:rPr>
      </w:pPr>
      <w:r>
        <w:rPr>
          <w:rFonts w:hAnsi="Times New Roman" w:cs="Times New Roman"/>
          <w:color w:val="000000"/>
          <w:sz w:val="24"/>
          <w:szCs w:val="24"/>
        </w:rPr>
        <w:t>Приложение 1 «Источники информации о нежелательных реакциях лекарственных препаратов и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Приложение 2 «Инструкция по заполнению карты-извещения и ее форма»</w:t>
      </w:r>
    </w:p>
    <w:p>
      <w:pPr>
        <w:spacing w:line="240" w:lineRule="auto"/>
        <w:rPr>
          <w:rFonts w:hAnsi="Times New Roman" w:cs="Times New Roman"/>
          <w:color w:val="000000"/>
          <w:sz w:val="24"/>
          <w:szCs w:val="24"/>
        </w:rPr>
      </w:pPr>
      <w:r>
        <w:rPr>
          <w:rFonts w:hAnsi="Times New Roman" w:cs="Times New Roman"/>
          <w:color w:val="000000"/>
          <w:sz w:val="24"/>
          <w:szCs w:val="24"/>
        </w:rPr>
        <w:t>Приложение 3 «Журнал учета выявленных неблагоприятных побочных реакций при применении лекарственных средств и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Приложение 4 «Порядок получения доступа в базу данных “Фармаконадзор” и работа в ней»</w:t>
      </w:r>
    </w:p>
    <w:p>
      <w:pPr>
        <w:spacing w:line="240" w:lineRule="auto"/>
        <w:rPr>
          <w:rFonts w:hAnsi="Times New Roman" w:cs="Times New Roman"/>
          <w:color w:val="000000"/>
          <w:sz w:val="24"/>
          <w:szCs w:val="24"/>
        </w:rPr>
      </w:pPr>
      <w:r>
        <w:rPr>
          <w:rFonts w:hAnsi="Times New Roman" w:cs="Times New Roman"/>
          <w:color w:val="000000"/>
          <w:sz w:val="24"/>
          <w:szCs w:val="24"/>
        </w:rPr>
        <w:t>Приложение 5 «Ежеквартальный отчет по мониторингу безопасности лекарственных средств и медицинских изделий для медицинских организаций»</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1. ОБЛАСТЬ ПРИМЕНЕНИЯ И ЦЕЛЬ СОЗДАНИЯ </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Настоящая стандартная операционная процедура (далее – СОП) устанавливает требования к организации и проведению мониторинга безопасности лекарственных препаратов и медицинских изделий в </w:t>
      </w:r>
      <w:r>
        <w:rPr>
          <w:rFonts w:hAnsi="Times New Roman" w:cs="Times New Roman"/>
          <w:color w:val="000000"/>
          <w:sz w:val="24"/>
          <w:szCs w:val="24"/>
        </w:rPr>
        <w:t>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1. 2. Требования СОП предназначены для применения всеми сотрудниками </w:t>
      </w:r>
      <w:r>
        <w:rPr>
          <w:rFonts w:hAnsi="Times New Roman" w:cs="Times New Roman"/>
          <w:color w:val="000000"/>
          <w:sz w:val="24"/>
          <w:szCs w:val="24"/>
        </w:rPr>
        <w:t>_______________</w:t>
      </w:r>
      <w:r>
        <w:rPr>
          <w:rFonts w:hAnsi="Times New Roman" w:cs="Times New Roman"/>
          <w:color w:val="000000"/>
          <w:sz w:val="24"/>
          <w:szCs w:val="24"/>
        </w:rPr>
        <w:t>, деятельность которых связана с лекарственными препаратами и медицинскими изделиями. Соблюдение требований СОП является частью системы менеджмента качества медицинской организации и гарантирует качество и безопасность оказания медицинской помощи и лекарственного обеспечения. Данная СОП закрепляет алгоритм работы сотрудников в области мониторинга безопасности лекарственных препаратов для медицинского применения и медицинских изделий, регистрации побочных действий, серьезных нежелательных реакций, непредвиденных нежелательных реакций при применении лекарственных препаратов для медицинского применения и медицинских изделий.</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1.3. Целью СОП </w:t>
      </w:r>
      <w:r>
        <w:rPr>
          <w:rFonts w:hAnsi="Times New Roman" w:cs="Times New Roman"/>
          <w:color w:val="000000"/>
          <w:sz w:val="24"/>
          <w:szCs w:val="24"/>
        </w:rPr>
        <w:t>является повышение качества медицинской и фармацевтической помощи, лекарственного обеспечения. Реализует поэтапный подход к проведению мониторинга безопасности лекарственных средств и медицинских изделий.</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1.4. Область применения СОП – </w:t>
      </w:r>
      <w:r>
        <w:rPr>
          <w:rFonts w:hAnsi="Times New Roman" w:cs="Times New Roman"/>
          <w:color w:val="000000"/>
          <w:sz w:val="24"/>
          <w:szCs w:val="24"/>
        </w:rPr>
        <w:t xml:space="preserve">структурные подразделения </w:t>
      </w:r>
      <w:r>
        <w:rPr>
          <w:rFonts w:hAnsi="Times New Roman" w:cs="Times New Roman"/>
          <w:color w:val="000000"/>
          <w:sz w:val="24"/>
          <w:szCs w:val="24"/>
        </w:rPr>
        <w:t>_______________</w:t>
      </w:r>
      <w:r>
        <w:rPr>
          <w:rFonts w:hAnsi="Times New Roman" w:cs="Times New Roman"/>
          <w:color w:val="000000"/>
          <w:sz w:val="24"/>
          <w:szCs w:val="24"/>
        </w:rPr>
        <w:t>, где происходит обращение лекарственных средств и медицинских изделий.</w:t>
      </w:r>
    </w:p>
    <w:p>
      <w:pPr>
        <w:spacing w:line="240" w:lineRule="auto"/>
        <w:rPr>
          <w:rFonts w:hAnsi="Times New Roman" w:cs="Times New Roman"/>
          <w:color w:val="000000"/>
          <w:sz w:val="24"/>
          <w:szCs w:val="24"/>
        </w:rPr>
      </w:pPr>
      <w:r>
        <w:rPr>
          <w:rFonts w:hAnsi="Times New Roman" w:cs="Times New Roman"/>
          <w:b/>
          <w:bCs/>
          <w:color w:val="000000"/>
          <w:sz w:val="24"/>
          <w:szCs w:val="24"/>
        </w:rPr>
        <w:t>2. НОРМАТИВНЫЕ ССЫЛКИ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Федеральный закон от 21.11.2011 № 323-ФЗ</w:t>
      </w:r>
      <w:r>
        <w:rPr>
          <w:rFonts w:hAnsi="Times New Roman" w:cs="Times New Roman"/>
          <w:color w:val="000000"/>
          <w:sz w:val="24"/>
          <w:szCs w:val="24"/>
        </w:rPr>
        <w:t xml:space="preserve"> «Об основах охраны здоровья граждан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Федеральный закон от 12.04.2010 № 61-ФЗ</w:t>
      </w:r>
      <w:r>
        <w:rPr>
          <w:rFonts w:hAnsi="Times New Roman" w:cs="Times New Roman"/>
          <w:color w:val="000000"/>
          <w:sz w:val="24"/>
          <w:szCs w:val="24"/>
        </w:rPr>
        <w:t xml:space="preserve"> «Об обращении лекарственных средств»;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приказ Росздравнадзора от 15.02.2017 № 1071</w:t>
      </w:r>
      <w:r>
        <w:rPr>
          <w:rFonts w:hAnsi="Times New Roman" w:cs="Times New Roman"/>
          <w:color w:val="000000"/>
          <w:sz w:val="24"/>
          <w:szCs w:val="24"/>
        </w:rPr>
        <w:t xml:space="preserve"> «Об утверждении Порядка осуществления фармаконадзора»;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решение Совета Евразийской экономической комиссии от 03.11.2016 № 87</w:t>
      </w:r>
      <w:r>
        <w:rPr>
          <w:rFonts w:hAnsi="Times New Roman" w:cs="Times New Roman"/>
          <w:color w:val="000000"/>
          <w:sz w:val="24"/>
          <w:szCs w:val="24"/>
        </w:rPr>
        <w:t xml:space="preserve"> «Об утверждении Правил надлежащей практики фармаконадзора Евразийского экономического союза»;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приказ Минздрава России от 31.08.2016 № 647н</w:t>
      </w:r>
      <w:r>
        <w:rPr>
          <w:rFonts w:hAnsi="Times New Roman" w:cs="Times New Roman"/>
          <w:color w:val="000000"/>
          <w:sz w:val="24"/>
          <w:szCs w:val="24"/>
        </w:rPr>
        <w:t xml:space="preserve"> «Об утверждении Правил надлежащей аптечной практики лекарственных препаратов для медицинского применения»;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приказ Минздрава России от 31.08.2016 № 646н</w:t>
      </w:r>
      <w:r>
        <w:rPr>
          <w:rFonts w:hAnsi="Times New Roman" w:cs="Times New Roman"/>
          <w:color w:val="000000"/>
          <w:sz w:val="24"/>
          <w:szCs w:val="24"/>
        </w:rPr>
        <w:t xml:space="preserve"> «Об утверждении Правил надлежащей практики хранения и перевозки лекарственных препаратов для медицинского применения»;</w:t>
      </w:r>
    </w:p>
    <w:p>
      <w:pPr>
        <w:spacing w:line="240" w:lineRule="auto"/>
        <w:rPr>
          <w:rFonts w:hAnsi="Times New Roman" w:cs="Times New Roman"/>
          <w:color w:val="000000"/>
          <w:sz w:val="24"/>
          <w:szCs w:val="24"/>
        </w:rPr>
      </w:pPr>
      <w:r>
        <w:rPr>
          <w:rFonts w:hAnsi="Times New Roman" w:cs="Times New Roman"/>
          <w:color w:val="000000"/>
          <w:sz w:val="24"/>
          <w:szCs w:val="24"/>
        </w:rPr>
        <w:t>– </w:t>
      </w:r>
      <w:r>
        <w:rPr>
          <w:rFonts w:hAnsi="Times New Roman" w:cs="Times New Roman"/>
          <w:color w:val="000000"/>
          <w:sz w:val="24"/>
          <w:szCs w:val="24"/>
        </w:rPr>
        <w:t>приказ Минздрава России от 19.10.2020 № 1113н</w:t>
      </w:r>
      <w:r>
        <w:rPr>
          <w:rFonts w:hAnsi="Times New Roman" w:cs="Times New Roman"/>
          <w:color w:val="000000"/>
          <w:sz w:val="24"/>
          <w:szCs w:val="24"/>
        </w:rPr>
        <w:t> «Об утверждении Порядка сообщения субъектами обращения медицинских изделий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приказ Росздравнадзора от 17.06.2024 № 3518</w:t>
      </w:r>
      <w:r>
        <w:rPr>
          <w:rFonts w:hAnsi="Times New Roman" w:cs="Times New Roman"/>
          <w:color w:val="000000"/>
          <w:sz w:val="24"/>
          <w:szCs w:val="24"/>
        </w:rPr>
        <w:t> «Об утверждении Порядка фармаконадзора лекарственных препаратов для медицинского применения».</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3. ОСНОВНЫЕТЕРМИНЫ И ОПРЕДЕЛЕНИЯ </w:t>
      </w:r>
    </w:p>
    <w:p>
      <w:pPr>
        <w:spacing w:line="240" w:lineRule="auto"/>
        <w:rPr>
          <w:rFonts w:hAnsi="Times New Roman" w:cs="Times New Roman"/>
          <w:color w:val="000000"/>
          <w:sz w:val="24"/>
          <w:szCs w:val="24"/>
        </w:rPr>
      </w:pPr>
      <w:r>
        <w:rPr>
          <w:rFonts w:hAnsi="Times New Roman" w:cs="Times New Roman"/>
          <w:b/>
          <w:bCs/>
          <w:color w:val="000000"/>
          <w:sz w:val="24"/>
          <w:szCs w:val="24"/>
        </w:rPr>
        <w:t>3.1. Фармаконадзор</w:t>
      </w:r>
      <w:r>
        <w:rPr>
          <w:rFonts w:hAnsi="Times New Roman" w:cs="Times New Roman"/>
          <w:color w:val="000000"/>
          <w:sz w:val="24"/>
          <w:szCs w:val="24"/>
        </w:rPr>
        <w:t xml:space="preserve"> – вид деятельности по мониторингу эффективности и безопасности лекарственных препаратов, направленный на выявление, оценку и предотвращение нежелательных последствий применения лекарственных препаратов.</w:t>
      </w:r>
    </w:p>
    <w:p>
      <w:pPr>
        <w:spacing w:line="240" w:lineRule="auto"/>
        <w:rPr>
          <w:rFonts w:hAnsi="Times New Roman" w:cs="Times New Roman"/>
          <w:color w:val="000000"/>
          <w:sz w:val="24"/>
          <w:szCs w:val="24"/>
        </w:rPr>
      </w:pPr>
      <w:r>
        <w:rPr>
          <w:rFonts w:hAnsi="Times New Roman" w:cs="Times New Roman"/>
          <w:b/>
          <w:bCs/>
          <w:color w:val="000000"/>
          <w:sz w:val="24"/>
          <w:szCs w:val="24"/>
        </w:rPr>
        <w:t>3.2. Лекарственное средство</w:t>
      </w:r>
      <w:r>
        <w:rPr>
          <w:rFonts w:hAnsi="Times New Roman" w:cs="Times New Roman"/>
          <w:color w:val="000000"/>
          <w:sz w:val="24"/>
          <w:szCs w:val="24"/>
        </w:rPr>
        <w:t xml:space="preserve"> – средство, представляющее собой либо содержащее вещество или комбинацию веществ, предназначенных для лечения, профилактики заболеваний человека или восстановления, коррекции или изменения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p>
      <w:pPr>
        <w:spacing w:line="240" w:lineRule="auto"/>
        <w:rPr>
          <w:rFonts w:hAnsi="Times New Roman" w:cs="Times New Roman"/>
          <w:color w:val="000000"/>
          <w:sz w:val="24"/>
          <w:szCs w:val="24"/>
        </w:rPr>
      </w:pPr>
      <w:r>
        <w:rPr>
          <w:rFonts w:hAnsi="Times New Roman" w:cs="Times New Roman"/>
          <w:b/>
          <w:bCs/>
          <w:color w:val="000000"/>
          <w:sz w:val="24"/>
          <w:szCs w:val="24"/>
        </w:rPr>
        <w:t>3.3. Лекарственный препарат</w:t>
      </w:r>
      <w:r>
        <w:rPr>
          <w:rFonts w:hAnsi="Times New Roman" w:cs="Times New Roman"/>
          <w:color w:val="000000"/>
          <w:sz w:val="24"/>
          <w:szCs w:val="24"/>
        </w:rPr>
        <w:t xml:space="preserve"> – лекарственное средство в виде лекарственной формы, вступающее в контакт с организмом человека.</w:t>
      </w:r>
    </w:p>
    <w:p>
      <w:pPr>
        <w:spacing w:line="240" w:lineRule="auto"/>
        <w:rPr>
          <w:rFonts w:hAnsi="Times New Roman" w:cs="Times New Roman"/>
          <w:color w:val="000000"/>
          <w:sz w:val="24"/>
          <w:szCs w:val="24"/>
        </w:rPr>
      </w:pPr>
      <w:r>
        <w:rPr>
          <w:rFonts w:hAnsi="Times New Roman" w:cs="Times New Roman"/>
          <w:b/>
          <w:bCs/>
          <w:color w:val="000000"/>
          <w:sz w:val="24"/>
          <w:szCs w:val="24"/>
        </w:rPr>
        <w:t>3.4. Медицинское изделие</w:t>
      </w:r>
      <w:r>
        <w:rPr>
          <w:rFonts w:hAnsi="Times New Roman" w:cs="Times New Roman"/>
          <w:color w:val="000000"/>
          <w:sz w:val="24"/>
          <w:szCs w:val="24"/>
        </w:rPr>
        <w:t xml:space="preserve"> – это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w:t>
      </w:r>
    </w:p>
    <w:p>
      <w:pPr>
        <w:spacing w:line="240" w:lineRule="auto"/>
        <w:rPr>
          <w:rFonts w:hAnsi="Times New Roman" w:cs="Times New Roman"/>
          <w:color w:val="000000"/>
          <w:sz w:val="24"/>
          <w:szCs w:val="24"/>
        </w:rPr>
      </w:pPr>
      <w:r>
        <w:rPr>
          <w:rFonts w:hAnsi="Times New Roman" w:cs="Times New Roman"/>
          <w:b/>
          <w:bCs/>
          <w:color w:val="000000"/>
          <w:sz w:val="24"/>
          <w:szCs w:val="24"/>
        </w:rPr>
        <w:t>3.5. Неблагоприятная побочная реакция (далее – НПР</w:t>
      </w:r>
      <w:r>
        <w:rPr>
          <w:rFonts w:hAnsi="Times New Roman" w:cs="Times New Roman"/>
          <w:color w:val="000000"/>
          <w:sz w:val="24"/>
          <w:szCs w:val="24"/>
        </w:rPr>
        <w:t>) – любая непреднамеренная и вредная для организма человека реакция, которая возникает при использовании лекарственного средства (далее – ЛС) или медицинского изделия (далее – МИ) с целью профилактики, лечения и диагностики или для изменения физиологической функции, включает в себя: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b/>
          <w:bCs/>
          <w:color w:val="000000"/>
          <w:sz w:val="24"/>
          <w:szCs w:val="24"/>
        </w:rPr>
        <w:t>побочное действие</w:t>
      </w:r>
      <w:r>
        <w:rPr>
          <w:rFonts w:hAnsi="Times New Roman" w:cs="Times New Roman"/>
          <w:color w:val="000000"/>
          <w:sz w:val="24"/>
          <w:szCs w:val="24"/>
        </w:rPr>
        <w:t xml:space="preserve"> – реакцию организма, возникшую в связи с применением лекарственного препарата в дозах, рекомендуемых в инструкции по его применению, для профилактики, диагностики, лечения заболевания или для реабилитации;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b/>
          <w:bCs/>
          <w:color w:val="000000"/>
          <w:sz w:val="24"/>
          <w:szCs w:val="24"/>
        </w:rPr>
        <w:t>нежелательную </w:t>
      </w:r>
      <w:r>
        <w:rPr>
          <w:rFonts w:hAnsi="Times New Roman" w:cs="Times New Roman"/>
          <w:b/>
          <w:bCs/>
          <w:color w:val="000000"/>
          <w:sz w:val="24"/>
          <w:szCs w:val="24"/>
        </w:rPr>
        <w:t>реакцию</w:t>
      </w:r>
      <w:r>
        <w:rPr>
          <w:rFonts w:hAnsi="Times New Roman" w:cs="Times New Roman"/>
          <w:color w:val="000000"/>
          <w:sz w:val="24"/>
          <w:szCs w:val="24"/>
        </w:rPr>
        <w:t> – непреднамеренную неблагоприятную реакцию организма, связанную с применением лекарственного (исследуемого) препарата и предполагающую наличие, как минимум, возможной взаимосвязи с применением подозреваемого лекарственного (исследуемого) препарата;</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b/>
          <w:bCs/>
          <w:color w:val="000000"/>
          <w:sz w:val="24"/>
          <w:szCs w:val="24"/>
        </w:rPr>
        <w:t>серьезную нежелательную реакцию</w:t>
      </w:r>
      <w:r>
        <w:rPr>
          <w:rFonts w:hAnsi="Times New Roman" w:cs="Times New Roman"/>
          <w:color w:val="000000"/>
          <w:sz w:val="24"/>
          <w:szCs w:val="24"/>
        </w:rPr>
        <w:t xml:space="preserve"> – нежелательную реакцию организма, связанную с применением лекарственного препарата: приведшую к смерти; врожденным аномалиям или порокам развития; представляющую собой угрозу жизни; требующую госпитализации или приведшую к стойкой утрате трудоспособности и (или) инвалидности;</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b/>
          <w:bCs/>
          <w:color w:val="000000"/>
          <w:sz w:val="24"/>
          <w:szCs w:val="24"/>
        </w:rPr>
        <w:t>непредвиденную нежелательную реакцию</w:t>
      </w:r>
      <w:r>
        <w:rPr>
          <w:rFonts w:hAnsi="Times New Roman" w:cs="Times New Roman"/>
          <w:color w:val="000000"/>
          <w:sz w:val="24"/>
          <w:szCs w:val="24"/>
        </w:rPr>
        <w:t xml:space="preserve"> – нежелательную реакцию организма (в том числе связанную с применением лекарственного препарата в соответствии с инструкцией по его применению), сущность и тяжесть которой не соответствует информации о лекарственном препарате, содержащейся в инструкции по его применению. Реакция считается связанной с лекарственным препаратом, если причинно-следственную связь нельзя исключить.</w:t>
      </w:r>
    </w:p>
    <w:p>
      <w:pPr>
        <w:spacing w:line="240" w:lineRule="auto"/>
        <w:rPr>
          <w:rFonts w:hAnsi="Times New Roman" w:cs="Times New Roman"/>
          <w:color w:val="000000"/>
          <w:sz w:val="24"/>
          <w:szCs w:val="24"/>
        </w:rPr>
      </w:pPr>
      <w:r>
        <w:rPr>
          <w:rFonts w:hAnsi="Times New Roman" w:cs="Times New Roman"/>
          <w:b/>
          <w:bCs/>
          <w:color w:val="000000"/>
          <w:sz w:val="24"/>
          <w:szCs w:val="24"/>
        </w:rPr>
        <w:t>3.6. Отсутствующая информация</w:t>
      </w:r>
      <w:r>
        <w:rPr>
          <w:rFonts w:hAnsi="Times New Roman" w:cs="Times New Roman"/>
          <w:color w:val="000000"/>
          <w:sz w:val="24"/>
          <w:szCs w:val="24"/>
        </w:rPr>
        <w:t xml:space="preserve"> – недостаток сведений по безопасности или об особенностях применения лекарственного препарата у определенных групп пациентов, которые могут являться клинически значимыми.</w:t>
      </w:r>
    </w:p>
    <w:p>
      <w:pPr>
        <w:spacing w:line="240" w:lineRule="auto"/>
        <w:rPr>
          <w:rFonts w:hAnsi="Times New Roman" w:cs="Times New Roman"/>
          <w:color w:val="000000"/>
          <w:sz w:val="24"/>
          <w:szCs w:val="24"/>
        </w:rPr>
      </w:pPr>
      <w:r>
        <w:rPr>
          <w:rFonts w:hAnsi="Times New Roman" w:cs="Times New Roman"/>
          <w:b/>
          <w:bCs/>
          <w:color w:val="000000"/>
          <w:sz w:val="24"/>
          <w:szCs w:val="24"/>
        </w:rPr>
        <w:t>3.7. Передозировка</w:t>
      </w:r>
      <w:r>
        <w:rPr>
          <w:rFonts w:hAnsi="Times New Roman" w:cs="Times New Roman"/>
          <w:color w:val="000000"/>
          <w:sz w:val="24"/>
          <w:szCs w:val="24"/>
        </w:rPr>
        <w:t xml:space="preserve"> – применение лекарственного препарата за один прием либо в течение дня в количестве, которое превышает рекомендуемую максимальную суточную дозу в соответствии с действующей общей характеристикой лекарственного препарата. Учитывается также кумулятивный эффект, связанный с передозировкой.</w:t>
      </w:r>
    </w:p>
    <w:p>
      <w:pPr>
        <w:spacing w:line="240" w:lineRule="auto"/>
        <w:rPr>
          <w:rFonts w:hAnsi="Times New Roman" w:cs="Times New Roman"/>
          <w:color w:val="000000"/>
          <w:sz w:val="24"/>
          <w:szCs w:val="24"/>
        </w:rPr>
      </w:pPr>
      <w:r>
        <w:rPr>
          <w:rFonts w:hAnsi="Times New Roman" w:cs="Times New Roman"/>
          <w:b/>
          <w:bCs/>
          <w:color w:val="000000"/>
          <w:sz w:val="24"/>
          <w:szCs w:val="24"/>
        </w:rPr>
        <w:t>3.8. Потенциальный риск</w:t>
      </w:r>
      <w:r>
        <w:rPr>
          <w:rFonts w:hAnsi="Times New Roman" w:cs="Times New Roman"/>
          <w:color w:val="000000"/>
          <w:sz w:val="24"/>
          <w:szCs w:val="24"/>
        </w:rPr>
        <w:t xml:space="preserve"> – нежелательное последствие фармакотерапии, в отношении которого имеются основания для подозрений на наличие взаимосвязи с лекарственным препаратом, однако данная взаимосвязь надлежащим образом не была подтверждена.</w:t>
      </w:r>
    </w:p>
    <w:p>
      <w:pPr>
        <w:spacing w:line="240" w:lineRule="auto"/>
        <w:rPr>
          <w:rFonts w:hAnsi="Times New Roman" w:cs="Times New Roman"/>
          <w:color w:val="000000"/>
          <w:sz w:val="24"/>
          <w:szCs w:val="24"/>
        </w:rPr>
      </w:pPr>
      <w:r>
        <w:rPr>
          <w:rFonts w:hAnsi="Times New Roman" w:cs="Times New Roman"/>
          <w:b/>
          <w:bCs/>
          <w:color w:val="000000"/>
          <w:sz w:val="24"/>
          <w:szCs w:val="24"/>
        </w:rPr>
        <w:t>4. ПЕРСОНАЛ И ОТВЕТСТВЕННОСТЬ</w:t>
      </w:r>
    </w:p>
    <w:p>
      <w:pPr>
        <w:spacing w:line="240" w:lineRule="auto"/>
        <w:rPr>
          <w:rFonts w:hAnsi="Times New Roman" w:cs="Times New Roman"/>
          <w:color w:val="000000"/>
          <w:sz w:val="24"/>
          <w:szCs w:val="24"/>
        </w:rPr>
      </w:pPr>
      <w:r>
        <w:rPr>
          <w:rFonts w:hAnsi="Times New Roman" w:cs="Times New Roman"/>
          <w:color w:val="000000"/>
          <w:sz w:val="24"/>
          <w:szCs w:val="24"/>
        </w:rPr>
        <w:t>4.1. Данная инструкция распространяется на весь персонал медицинской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4.2. Сотрудники организации несут ответственность в пределах своей компетенции:</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4.2.1. Заместитель главного врача по лечебной работе </w:t>
      </w:r>
      <w:r>
        <w:rPr>
          <w:rFonts w:hAnsi="Times New Roman" w:cs="Times New Roman"/>
          <w:b/>
          <w:bCs/>
          <w:color w:val="000000"/>
          <w:sz w:val="24"/>
          <w:szCs w:val="24"/>
        </w:rPr>
        <w:t>________</w:t>
      </w:r>
      <w:r>
        <w:rPr>
          <w:rFonts w:hAnsi="Times New Roman" w:cs="Times New Roman"/>
          <w:b/>
          <w:bCs/>
          <w:color w:val="000000"/>
          <w:sz w:val="24"/>
          <w:szCs w:val="24"/>
        </w:rPr>
        <w:t xml:space="preserve"> за: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документирования процессов и изменений, связанных с фармаконадзором, в соответствии с требованиями настоящей СОП;</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возможности обучения;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требуемыми ресурсами (в том числе необходимыми помещениями, оборудованием и т. д.);</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выполнение регулярной оценки работы системы фармаконадзора, с подтверждением ее эффективности;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реализацию корректировочных и предупредительных мероприятий, проведение внутренних аудитов;</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наличия эффективного механизма реализации соответствующих мер в случае выявления изменений профиля безопасности разрабатываемых и выпускаемых лекарственных препаратов;</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своевременного выявления и принятия корректировочных и предупредительных мер в случае несоблюдения требований к мониторингу безопасности лекарственных препаратов;</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утверждение данной стандартной операционной процедуры.</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4.2.2. Уполномоченный за организацию и проведение мониторинга безопасности лекарственных препаратов и медицинских изделий (фармаконадзору) клинический фармаколог </w:t>
      </w:r>
      <w:r>
        <w:rPr>
          <w:rFonts w:hAnsi="Times New Roman" w:cs="Times New Roman"/>
          <w:b/>
          <w:bCs/>
          <w:color w:val="000000"/>
          <w:sz w:val="24"/>
          <w:szCs w:val="24"/>
        </w:rPr>
        <w:t>________</w:t>
      </w:r>
      <w:r>
        <w:rPr>
          <w:rFonts w:hAnsi="Times New Roman" w:cs="Times New Roman"/>
          <w:b/>
          <w:bCs/>
          <w:color w:val="000000"/>
          <w:sz w:val="24"/>
          <w:szCs w:val="24"/>
        </w:rPr>
        <w:t xml:space="preserve"> за: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вводного и периодического инструктажей (не реже одного раза в год в соответствии с утвержденным планом-графиком), медицинского и фармацевтического персонала по данному вопросу и ознакомления под подпись, с обучением алгоритму действий, навыкам заполнения карты-извещения при возникновении неблагоприятных побочных реакций на лекарственные средства и медицинские изделия;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процедуры работы с индивидуальными сообщениями о нежелательных реакциях – сбор, обработку, управление, контроль качества, получение информации о случаях побочных действий, не указанных в инструкции по применению, серьезных нежелательных реакций, непредвиденных нежелательных реакций при применении лекарственных препаратов для медицинского применения и медицинских изделий, выявление повторных сообщений, оценку и своевременное представление;</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сбор информации о неблагоприятных событиях, связанных с применением, хранением, обработкой, обслуживанием, утилизацией медицинских изделий в данной организации, в том числе применяемыми при обслуживании пациентов на выезде;</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осуществление сбора информации о неблагоприятных событиях, связанных с применением медицинских изделий индивидуальными пользователями (например, имплантированные медицинские изделия самостоятельно на дому);</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подготовку и предоставление информации о нежелательной реакции главному врачу, а также в орган государственного контроля посредством персонифицированного доступа в АИС Росздравнадзор;</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информирование персонала о порядке заполнения карт-извещений;</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верификацию и уточнение данных о выявленных НПР;</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регистрацию нежелательных побочных реакций на ЛС и МИ в «Журнале учета выявленных неблагоприятных побочных реакций при применении лекарственных средств и медицинских изделий» и/или в электронной форме на сайте Росздравнадзора;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своевременное предоставление в Региональный центр (в тех субъектах, где имеется такой центр) заполненных карт-извещений в течение </w:t>
      </w:r>
      <w:r>
        <w:rPr>
          <w:rFonts w:hAnsi="Times New Roman" w:cs="Times New Roman"/>
          <w:b/>
          <w:bCs/>
          <w:color w:val="000000"/>
          <w:sz w:val="24"/>
          <w:szCs w:val="24"/>
        </w:rPr>
        <w:t>пяти рабочих дней</w:t>
      </w:r>
      <w:r>
        <w:rPr>
          <w:rFonts w:hAnsi="Times New Roman" w:cs="Times New Roman"/>
          <w:color w:val="000000"/>
          <w:sz w:val="24"/>
          <w:szCs w:val="24"/>
        </w:rPr>
        <w:t> с момента выявления НПР;</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подачу ежеквартального отчета в </w:t>
      </w:r>
      <w:r>
        <w:rPr>
          <w:rFonts w:hAnsi="Times New Roman" w:cs="Times New Roman"/>
          <w:b/>
          <w:bCs/>
          <w:color w:val="000000"/>
          <w:sz w:val="24"/>
          <w:szCs w:val="24"/>
        </w:rPr>
        <w:t>срок до 5-го числа не позднее 25 января,</w:t>
      </w:r>
      <w:r>
        <w:rPr>
          <w:rFonts w:hAnsi="Times New Roman" w:cs="Times New Roman"/>
          <w:color w:val="000000"/>
          <w:sz w:val="24"/>
          <w:szCs w:val="24"/>
        </w:rPr>
        <w:t xml:space="preserve"> месяца, следующего за отчетным кварталом, в электронном и печатном вариантах; годового отчета следующего за отчетным годом, руководителю Регионального центра мониторинга безопасности лекарственных средств о выявленных неблагоприятных побочных реакциях при применении ЛС и МИ, в том числе возникших у плода в период внутриутробного развития и у новорожденных в период грудного вскармливания;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информирование врачей о порядке заполнения карт-извещений;</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сбор карты-извещения с заявлением на рассмотрение назначения ЛС;</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информирование врачей о новых нормативных документах;</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получение и доведение до главного врача информации о необходимых мерах, (управляющих и корректирующих воздействиях), по выявленным в организации нежелательным и неблагоприятным событиям.</w:t>
      </w:r>
    </w:p>
    <w:p>
      <w:pPr>
        <w:spacing w:line="240" w:lineRule="auto"/>
        <w:rPr>
          <w:rFonts w:hAnsi="Times New Roman" w:cs="Times New Roman"/>
          <w:color w:val="000000"/>
          <w:sz w:val="24"/>
          <w:szCs w:val="24"/>
        </w:rPr>
      </w:pPr>
      <w:r>
        <w:rPr>
          <w:rFonts w:hAnsi="Times New Roman" w:cs="Times New Roman"/>
          <w:color w:val="000000"/>
          <w:sz w:val="24"/>
          <w:szCs w:val="24"/>
        </w:rPr>
        <w:t>Получение и доведение до руководства (главного врача) информации о нежелательном событии с изделиями, идентичными или эквивалентными применяемым в организации, для снижения риска возникновения неблагоприятного события: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проверка фиксации медицинской и технической информации, связанной с неблагоприятным событием в медицинской и эксплуатационной документации соответственно (карта пациента, формуляр медицинского изделия и т. п.);</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документирование информации о неблагоприятном событии, систематизация и ведение учета поступающих и отправляемых сообщений, обеспечение их хранения, прослеживаемости по мерам, применяемым в связи с данными неблагоприятными событиями;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доведение до работников медицинской организации, использующих медицинские изделия и ЛП, решений по результатам расследования неблагоприятных событий, иных сведений по безопасности медицинских изделий и ЛП в пределах компетенции;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дополнительное информирование о нежелательных реакциях, являющихся серьезными и непредвиденными, а также особенностях взаимодействия лекарственных препаратов с другими лекарственными препаратами, которые были выявлены при проведении клинических исследований и применении лекарственных препаратов;</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разработка, наличие в структурных подразделениях данного порядка (СОП), своевременная актуализация.</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4.2.3. Заведующие отделениями за: </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систематический контроль за рациональным назначением ЛП и инфузионной терапией, МИ;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первичного инструктажа врачей отделения по алгоритму действия в случае возникновения неблагоприятных побочных реакций и заполнению карты-извещения;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сообщение о выявленных фактах НПР на ЛС и МИ в оперативном режиме (в течение суток) ответственному за сбор информации и предоставление отчетности о неблагоприятных побочных реакциях при применении лекарственных средств и медицинских изделий (</w:t>
      </w:r>
      <w:r>
        <w:rPr>
          <w:rFonts w:hAnsi="Times New Roman" w:cs="Times New Roman"/>
          <w:color w:val="000000"/>
          <w:sz w:val="24"/>
          <w:szCs w:val="24"/>
        </w:rPr>
        <w:t>________________________________________________</w:t>
      </w:r>
      <w:r>
        <w:rPr>
          <w:rFonts w:hAnsi="Times New Roman" w:cs="Times New Roman"/>
          <w:color w:val="000000"/>
          <w:sz w:val="24"/>
          <w:szCs w:val="24"/>
        </w:rPr>
        <w:t>);</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регистрацию НПР в «Журнале учета выявленных НПР при применении ЛС и МИ»;</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доступность «Карт-извещений о подозреваемой неблагоприятной побочной реакции на ЛС и МИ», бланки хранить в доступных врачам местах (на рабочих местах врачей, посту м/с, ординаторской).</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4.2.4. Заведующий аптекой готовых лекарственных форм </w:t>
      </w:r>
      <w:r>
        <w:rPr>
          <w:rFonts w:hAnsi="Times New Roman" w:cs="Times New Roman"/>
          <w:b/>
          <w:bCs/>
          <w:color w:val="000000"/>
          <w:sz w:val="24"/>
          <w:szCs w:val="24"/>
        </w:rPr>
        <w:t>________</w:t>
      </w:r>
      <w:r>
        <w:rPr>
          <w:rFonts w:hAnsi="Times New Roman" w:cs="Times New Roman"/>
          <w:b/>
          <w:bCs/>
          <w:color w:val="000000"/>
          <w:sz w:val="24"/>
          <w:szCs w:val="24"/>
        </w:rPr>
        <w:t xml:space="preserve"> за:</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информирование медицинского персонала о побочном действии лекарственных препаратов и медицинских изделий согласно инструкции по применению при отпуске их из аптеки;</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доведение до сотрудников новой информации о безопасном применении лекарственных препаратов и медицинских изделий на основании писем Росздравнадзора.</w:t>
      </w:r>
    </w:p>
    <w:p>
      <w:pPr>
        <w:spacing w:line="240" w:lineRule="auto"/>
        <w:rPr>
          <w:rFonts w:hAnsi="Times New Roman" w:cs="Times New Roman"/>
          <w:color w:val="000000"/>
          <w:sz w:val="24"/>
          <w:szCs w:val="24"/>
        </w:rPr>
      </w:pPr>
      <w:r>
        <w:rPr>
          <w:rFonts w:hAnsi="Times New Roman" w:cs="Times New Roman"/>
          <w:b/>
          <w:bCs/>
          <w:color w:val="000000"/>
          <w:sz w:val="24"/>
          <w:szCs w:val="24"/>
        </w:rPr>
        <w:t>4.2.5. Работники за: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соблюдение требований данной СОП;</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обучение правилам проведения мониторинга безопасности лекарственных препаратов;</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координацию мероприятий, связанных с данной стандартной операционной процедурой;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4.3. Ответственным за соблюдение данной СОП по </w:t>
      </w:r>
      <w:r>
        <w:rPr>
          <w:rFonts w:hAnsi="Times New Roman" w:cs="Times New Roman"/>
          <w:color w:val="000000"/>
          <w:sz w:val="24"/>
          <w:szCs w:val="24"/>
        </w:rPr>
        <w:t>_______________</w:t>
      </w:r>
      <w:r>
        <w:rPr>
          <w:rFonts w:hAnsi="Times New Roman" w:cs="Times New Roman"/>
          <w:color w:val="000000"/>
          <w:sz w:val="24"/>
          <w:szCs w:val="24"/>
        </w:rPr>
        <w:t xml:space="preserve"> назначается заместитель главного врача по лечебной работе </w:t>
      </w:r>
      <w:r>
        <w:rPr>
          <w:rFonts w:hAnsi="Times New Roman" w:cs="Times New Roman"/>
          <w:color w:val="000000"/>
          <w:sz w:val="24"/>
          <w:szCs w:val="24"/>
        </w:rPr>
        <w:t>_________</w:t>
      </w:r>
    </w:p>
    <w:p>
      <w:pPr>
        <w:spacing w:line="240" w:lineRule="auto"/>
        <w:rPr>
          <w:rFonts w:hAnsi="Times New Roman" w:cs="Times New Roman"/>
          <w:color w:val="000000"/>
          <w:sz w:val="24"/>
          <w:szCs w:val="24"/>
        </w:rPr>
      </w:pPr>
      <w:r>
        <w:rPr>
          <w:rFonts w:hAnsi="Times New Roman" w:cs="Times New Roman"/>
          <w:color w:val="000000"/>
          <w:sz w:val="24"/>
          <w:szCs w:val="24"/>
        </w:rPr>
        <w:t>4.4. В случае несоблюдения данной операционной процедуры и возникновения ущерба он будет восстановлен за счет виновных лиц.</w:t>
      </w:r>
    </w:p>
    <w:p>
      <w:pPr>
        <w:spacing w:line="240" w:lineRule="auto"/>
        <w:rPr>
          <w:rFonts w:hAnsi="Times New Roman" w:cs="Times New Roman"/>
          <w:color w:val="000000"/>
          <w:sz w:val="24"/>
          <w:szCs w:val="24"/>
        </w:rPr>
      </w:pPr>
      <w:r>
        <w:rPr>
          <w:rFonts w:hAnsi="Times New Roman" w:cs="Times New Roman"/>
          <w:b/>
          <w:bCs/>
          <w:color w:val="000000"/>
          <w:sz w:val="24"/>
          <w:szCs w:val="24"/>
        </w:rPr>
        <w:t>5. ОПИСАНИЕ ПРОЦЕДУРЫ</w:t>
      </w:r>
    </w:p>
    <w:p>
      <w:pPr>
        <w:spacing w:line="240" w:lineRule="auto"/>
        <w:rPr>
          <w:rFonts w:hAnsi="Times New Roman" w:cs="Times New Roman"/>
          <w:color w:val="000000"/>
          <w:sz w:val="24"/>
          <w:szCs w:val="24"/>
        </w:rPr>
      </w:pPr>
      <w:r>
        <w:rPr>
          <w:rFonts w:hAnsi="Times New Roman" w:cs="Times New Roman"/>
          <w:b/>
          <w:bCs/>
          <w:color w:val="000000"/>
          <w:sz w:val="24"/>
          <w:szCs w:val="24"/>
        </w:rPr>
        <w:t>5.1. Общие сведения о фармаконадзоре</w:t>
      </w:r>
    </w:p>
    <w:p>
      <w:pPr>
        <w:spacing w:line="240" w:lineRule="auto"/>
        <w:rPr>
          <w:rFonts w:hAnsi="Times New Roman" w:cs="Times New Roman"/>
          <w:color w:val="000000"/>
          <w:sz w:val="24"/>
          <w:szCs w:val="24"/>
        </w:rPr>
      </w:pPr>
      <w:r>
        <w:rPr>
          <w:rFonts w:hAnsi="Times New Roman" w:cs="Times New Roman"/>
          <w:color w:val="000000"/>
          <w:sz w:val="24"/>
          <w:szCs w:val="24"/>
        </w:rPr>
        <w:t>5.1.1. Первоначально задачами фармаконадзора были выявление и реагирование на случаи небезопасности лекарственных препаратов. В настоящее время фармаконадзор является современным и динамически развивающимся направлением. Всемирная организация здравоохранения определяет фармаконадзор как «науку и мероприятия, связанные с обнаружением, оценкой, пониманием и предотвращением неблагоприятных последствий или любых других проблем, связанных с лекарственными препаратами». Цель данной науки – обеспечить врача достаточным количеством информации для принятия решения о выборе лекарственного препарата для лечения. Поскольку, даже несмотря на большие успехи фармацевтической промышленности, очень часто лекарственные препараты являются источниками серьезных побочных реакций, причиной болезни, инвалидности или даже смерти.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5.1.2. Согласно статье 4 </w:t>
      </w:r>
      <w:r>
        <w:rPr>
          <w:rFonts w:hAnsi="Times New Roman" w:cs="Times New Roman"/>
          <w:color w:val="000000"/>
          <w:sz w:val="24"/>
          <w:szCs w:val="24"/>
        </w:rPr>
        <w:t>Федерального закона от 12.04.2010 № 61-ФЗ</w:t>
      </w:r>
      <w:r>
        <w:rPr>
          <w:rFonts w:hAnsi="Times New Roman" w:cs="Times New Roman"/>
          <w:color w:val="000000"/>
          <w:sz w:val="24"/>
          <w:szCs w:val="24"/>
        </w:rPr>
        <w:t xml:space="preserve"> «Об обращении лекарственных средств» фармаконадзор – вид деятельности по мониторингу эффективности и безопасности лекарственных препаратов, направленный на выявление, оценку и предотвращение нежелательных последствий применения лекарственных препаратов.</w:t>
      </w:r>
    </w:p>
    <w:p>
      <w:pPr>
        <w:spacing w:line="240" w:lineRule="auto"/>
        <w:rPr>
          <w:rFonts w:hAnsi="Times New Roman" w:cs="Times New Roman"/>
          <w:color w:val="000000"/>
          <w:sz w:val="24"/>
          <w:szCs w:val="24"/>
        </w:rPr>
      </w:pPr>
      <w:r>
        <w:rPr>
          <w:rFonts w:hAnsi="Times New Roman" w:cs="Times New Roman"/>
          <w:color w:val="000000"/>
          <w:sz w:val="24"/>
          <w:szCs w:val="24"/>
        </w:rPr>
        <w:t>5.1.3. Фармаконадзор осуществляется Федеральной службой по надзору в сфере здравоохранения (далее – Росздравнадзор). Для этого данной службой собирается и анализируется информация, предоставляемая субъектами обращения лекарственных средств о побочных действиях лекарственных средств,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при применении лекарственных препаратов, выявленных на всех этапах обращения лекарственных препаратов в Российской Федерации и других государствах в целях выявления возможных негативных последствий их применения, индивидуальной непереносимости, предупреждения медицинских работников, пациентов и их защиты от применения таких лекарственных препаратов.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5.1.4. Виды деятельности, которые осуществляет </w:t>
      </w:r>
      <w:r>
        <w:rPr>
          <w:rFonts w:hAnsi="Times New Roman" w:cs="Times New Roman"/>
          <w:color w:val="000000"/>
          <w:sz w:val="24"/>
          <w:szCs w:val="24"/>
        </w:rPr>
        <w:t>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1) Сбор, обработка, регистрация и анализ информации о побочных действиях, серьезных и непредвиденных нежелательных реакциях.</w:t>
      </w:r>
    </w:p>
    <w:p>
      <w:pPr>
        <w:spacing w:line="240" w:lineRule="auto"/>
        <w:rPr>
          <w:rFonts w:hAnsi="Times New Roman" w:cs="Times New Roman"/>
          <w:color w:val="000000"/>
          <w:sz w:val="24"/>
          <w:szCs w:val="24"/>
        </w:rPr>
      </w:pPr>
      <w:r>
        <w:rPr>
          <w:rFonts w:hAnsi="Times New Roman" w:cs="Times New Roman"/>
          <w:color w:val="000000"/>
          <w:sz w:val="24"/>
          <w:szCs w:val="24"/>
        </w:rPr>
        <w:t>2) Сбор, обработка, регистрация и анализ информации об особенностях взаимодействия лекарственных препаратов с другими лекарственными препаратами, которые были выявлены при проведении клинических исследований и применении лекарственных препаратов, в целях выявления возможных негативных последствий их применения, предупреждения и защиты пациентов от применения таких препаратов.</w:t>
      </w:r>
    </w:p>
    <w:p>
      <w:pPr>
        <w:spacing w:line="240" w:lineRule="auto"/>
        <w:rPr>
          <w:rFonts w:hAnsi="Times New Roman" w:cs="Times New Roman"/>
          <w:color w:val="000000"/>
          <w:sz w:val="24"/>
          <w:szCs w:val="24"/>
        </w:rPr>
      </w:pPr>
      <w:r>
        <w:rPr>
          <w:rFonts w:hAnsi="Times New Roman" w:cs="Times New Roman"/>
          <w:b/>
          <w:bCs/>
          <w:color w:val="000000"/>
          <w:sz w:val="24"/>
          <w:szCs w:val="24"/>
        </w:rPr>
        <w:t>5.2. Источники сообщений о безопасности лекарственных препаратов</w:t>
      </w:r>
    </w:p>
    <w:p>
      <w:pPr>
        <w:spacing w:line="240" w:lineRule="auto"/>
        <w:rPr>
          <w:rFonts w:hAnsi="Times New Roman" w:cs="Times New Roman"/>
          <w:color w:val="000000"/>
          <w:sz w:val="24"/>
          <w:szCs w:val="24"/>
        </w:rPr>
      </w:pPr>
      <w:r>
        <w:rPr>
          <w:rFonts w:hAnsi="Times New Roman" w:cs="Times New Roman"/>
          <w:color w:val="000000"/>
          <w:sz w:val="24"/>
          <w:szCs w:val="24"/>
        </w:rPr>
        <w:t>5.2.1. Источниками сообщений о безопасности лекарственных препаратов являются:</w:t>
      </w:r>
    </w:p>
    <w:p>
      <w:pPr>
        <w:spacing w:line="240" w:lineRule="auto"/>
        <w:rPr>
          <w:rFonts w:hAnsi="Times New Roman" w:cs="Times New Roman"/>
          <w:color w:val="000000"/>
          <w:sz w:val="24"/>
          <w:szCs w:val="24"/>
        </w:rPr>
      </w:pPr>
      <w:r>
        <w:rPr>
          <w:rFonts w:hAnsi="Times New Roman" w:cs="Times New Roman"/>
          <w:color w:val="000000"/>
          <w:sz w:val="24"/>
          <w:szCs w:val="24"/>
        </w:rPr>
        <w:t>1) Сообщения субъектов обращения лекарственных средств о выявленных нежелательных реакциях (спонтанные сообщения):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сообщения специалистов здравоохранения (медицинских работников);</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сообщения о нежелательных реакциях, поступающие от органов управления здравоохранением субъектов РФ;</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сообщения лиц, не являющихся специалистами здравоохранения, включая пациентов или потребителей;</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сообщения юридических лиц, осуществляющих обращение данного лекарственного препарата за рубежом в рамках контрактных соглашений.</w:t>
      </w:r>
    </w:p>
    <w:p>
      <w:pPr>
        <w:spacing w:line="240" w:lineRule="auto"/>
        <w:rPr>
          <w:rFonts w:hAnsi="Times New Roman" w:cs="Times New Roman"/>
          <w:color w:val="000000"/>
          <w:sz w:val="24"/>
          <w:szCs w:val="24"/>
        </w:rPr>
      </w:pPr>
      <w:r>
        <w:rPr>
          <w:rFonts w:hAnsi="Times New Roman" w:cs="Times New Roman"/>
          <w:color w:val="000000"/>
          <w:sz w:val="24"/>
          <w:szCs w:val="24"/>
        </w:rPr>
        <w:t>2) Новые данные по безопасности и эффективности, полученные в ходе доклинических, клинических, эпидемиологических исследований, спонсором которых является держатель регистрационного удостоверения лекарственного препарата.</w:t>
      </w:r>
    </w:p>
    <w:p>
      <w:pPr>
        <w:spacing w:line="240" w:lineRule="auto"/>
        <w:rPr>
          <w:rFonts w:hAnsi="Times New Roman" w:cs="Times New Roman"/>
          <w:color w:val="000000"/>
          <w:sz w:val="24"/>
          <w:szCs w:val="24"/>
        </w:rPr>
      </w:pPr>
      <w:r>
        <w:rPr>
          <w:rFonts w:hAnsi="Times New Roman" w:cs="Times New Roman"/>
          <w:color w:val="000000"/>
          <w:sz w:val="24"/>
          <w:szCs w:val="24"/>
        </w:rPr>
        <w:t>В эту группу могут быть включены данные регистров заболевания или использования лекарственного препарата (например, орфанного лекарственного средства).</w:t>
      </w:r>
    </w:p>
    <w:p>
      <w:pPr>
        <w:spacing w:line="240" w:lineRule="auto"/>
        <w:rPr>
          <w:rFonts w:hAnsi="Times New Roman" w:cs="Times New Roman"/>
          <w:color w:val="000000"/>
          <w:sz w:val="24"/>
          <w:szCs w:val="24"/>
        </w:rPr>
      </w:pPr>
      <w:r>
        <w:rPr>
          <w:rFonts w:hAnsi="Times New Roman" w:cs="Times New Roman"/>
          <w:color w:val="000000"/>
          <w:sz w:val="24"/>
          <w:szCs w:val="24"/>
        </w:rPr>
        <w:t>3) Новые данные по безопасности и эффективности из научной литературы.</w:t>
      </w:r>
    </w:p>
    <w:p>
      <w:pPr>
        <w:spacing w:line="240" w:lineRule="auto"/>
        <w:rPr>
          <w:rFonts w:hAnsi="Times New Roman" w:cs="Times New Roman"/>
          <w:color w:val="000000"/>
          <w:sz w:val="24"/>
          <w:szCs w:val="24"/>
        </w:rPr>
      </w:pPr>
      <w:r>
        <w:rPr>
          <w:rFonts w:hAnsi="Times New Roman" w:cs="Times New Roman"/>
          <w:color w:val="000000"/>
          <w:sz w:val="24"/>
          <w:szCs w:val="24"/>
        </w:rPr>
        <w:t>4) Сообщения о решениях зарубежных регуляторных органов об изменении регистрационного статуса лекарственного препарата, изменениях регистрационной документации, связанные с безопасностью, либо иных мерах, направленных на обеспечение безопасности его использования (например, программы управления рисками).</w:t>
      </w:r>
    </w:p>
    <w:p>
      <w:pPr>
        <w:spacing w:line="240" w:lineRule="auto"/>
        <w:rPr>
          <w:rFonts w:hAnsi="Times New Roman" w:cs="Times New Roman"/>
          <w:color w:val="000000"/>
          <w:sz w:val="24"/>
          <w:szCs w:val="24"/>
        </w:rPr>
      </w:pPr>
      <w:r>
        <w:rPr>
          <w:rFonts w:hAnsi="Times New Roman" w:cs="Times New Roman"/>
          <w:color w:val="000000"/>
          <w:sz w:val="24"/>
          <w:szCs w:val="24"/>
        </w:rPr>
        <w:t>5) Другие источники информации, включая сведения, полученные от медицинских организаций, региональных центров мониторинга безопасности лекарственных препаратов, правоохранительных органов о фактах вреда жизни и здоровью человека вследствие применения лекарственного препарата (включая случаи намеренной или непреднамеренной передозировки, злоупотребления или использования в противоправных целях).</w:t>
      </w:r>
    </w:p>
    <w:p>
      <w:pPr>
        <w:spacing w:line="240" w:lineRule="auto"/>
        <w:rPr>
          <w:rFonts w:hAnsi="Times New Roman" w:cs="Times New Roman"/>
          <w:color w:val="000000"/>
          <w:sz w:val="24"/>
          <w:szCs w:val="24"/>
        </w:rPr>
      </w:pPr>
      <w:r>
        <w:rPr>
          <w:rFonts w:hAnsi="Times New Roman" w:cs="Times New Roman"/>
          <w:color w:val="000000"/>
          <w:sz w:val="24"/>
          <w:szCs w:val="24"/>
        </w:rPr>
        <w:t>6) Рекомендованные источники научной литературы по мониторингу безопасности лекарственных препаратов (указаны в приложении 1).</w:t>
      </w:r>
    </w:p>
    <w:p>
      <w:pPr>
        <w:spacing w:line="240" w:lineRule="auto"/>
        <w:rPr>
          <w:rFonts w:hAnsi="Times New Roman" w:cs="Times New Roman"/>
          <w:color w:val="000000"/>
          <w:sz w:val="24"/>
          <w:szCs w:val="24"/>
        </w:rPr>
      </w:pPr>
      <w:r>
        <w:rPr>
          <w:rFonts w:hAnsi="Times New Roman" w:cs="Times New Roman"/>
          <w:b/>
          <w:bCs/>
          <w:color w:val="000000"/>
          <w:sz w:val="24"/>
          <w:szCs w:val="24"/>
        </w:rPr>
        <w:t>5.3. Алгоритм действий в случае развития неблагоприятных побочных реакций на лекарственные средства и медицинские изделия врача отделения</w:t>
      </w:r>
    </w:p>
    <w:p>
      <w:pPr>
        <w:spacing w:line="240" w:lineRule="auto"/>
        <w:rPr>
          <w:rFonts w:hAnsi="Times New Roman" w:cs="Times New Roman"/>
          <w:color w:val="000000"/>
          <w:sz w:val="24"/>
          <w:szCs w:val="24"/>
        </w:rPr>
      </w:pPr>
      <w:r>
        <w:rPr>
          <w:rFonts w:hAnsi="Times New Roman" w:cs="Times New Roman"/>
          <w:color w:val="000000"/>
          <w:sz w:val="24"/>
          <w:szCs w:val="24"/>
        </w:rPr>
        <w:t>5.3.1. Врач, у которого возникло предположение о нежелательной реакции, о побочном действии, серьезной нежелательной реакции, непредвиденной нежелательной реакции при применении лекарственных препаратов для медицинского применения и медицинского изделия, должен отразить событие в медицинской карте с указанием даты, времени и подробного описания соответствующих клинических проявлений.</w:t>
      </w:r>
    </w:p>
    <w:p>
      <w:pPr>
        <w:spacing w:line="240" w:lineRule="auto"/>
        <w:rPr>
          <w:rFonts w:hAnsi="Times New Roman" w:cs="Times New Roman"/>
          <w:color w:val="000000"/>
          <w:sz w:val="24"/>
          <w:szCs w:val="24"/>
        </w:rPr>
      </w:pPr>
      <w:r>
        <w:rPr>
          <w:rFonts w:hAnsi="Times New Roman" w:cs="Times New Roman"/>
          <w:color w:val="000000"/>
          <w:sz w:val="24"/>
          <w:szCs w:val="24"/>
        </w:rPr>
        <w:t>5.3.2. Информировать заведующего отделением и ответственного за организацию и проведение мониторинга безопасности лекарственных препаратов и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5.3.3. Поместить использованный флакон; флакон/упаковку с остатками лекарственного препарата и медицинского изделия, а при приготовлении многокомпонентных смесей – все использованные для приготовления раствора ампулы, общий флакон; карту-извещение; копию инструкции; копию медицинской карты; копию сертификата соответствия ЛС в полиэтиленовый пакет</w:t>
      </w:r>
    </w:p>
    <w:p>
      <w:pPr>
        <w:spacing w:line="240" w:lineRule="auto"/>
        <w:rPr>
          <w:rFonts w:hAnsi="Times New Roman" w:cs="Times New Roman"/>
          <w:color w:val="000000"/>
          <w:sz w:val="24"/>
          <w:szCs w:val="24"/>
        </w:rPr>
      </w:pPr>
      <w:r>
        <w:rPr>
          <w:rFonts w:hAnsi="Times New Roman" w:cs="Times New Roman"/>
          <w:color w:val="000000"/>
          <w:sz w:val="24"/>
          <w:szCs w:val="24"/>
        </w:rPr>
        <w:t xml:space="preserve">5.3.4. Заполнить карту-извещение (по возможности полно) (приложение 2) и вместе с собранным материалом </w:t>
      </w:r>
      <w:r>
        <w:rPr>
          <w:rFonts w:hAnsi="Times New Roman" w:cs="Times New Roman"/>
          <w:b/>
          <w:bCs/>
          <w:color w:val="000000"/>
          <w:sz w:val="24"/>
          <w:szCs w:val="24"/>
        </w:rPr>
        <w:t>передать ответственному в течение суток</w:t>
      </w:r>
      <w:r>
        <w:rPr>
          <w:rFonts w:hAnsi="Times New Roman" w:cs="Times New Roman"/>
          <w:color w:val="000000"/>
          <w:sz w:val="24"/>
          <w:szCs w:val="24"/>
        </w:rPr>
        <w:t xml:space="preserve"> за сбор информации и предоставление отчетности о неблагоприятных побочных реакциях на ЛС и МИ с момента выявления НПР.</w:t>
      </w:r>
    </w:p>
    <w:p>
      <w:pPr>
        <w:spacing w:line="240" w:lineRule="auto"/>
        <w:rPr>
          <w:rFonts w:hAnsi="Times New Roman" w:cs="Times New Roman"/>
          <w:color w:val="000000"/>
          <w:sz w:val="24"/>
          <w:szCs w:val="24"/>
        </w:rPr>
      </w:pPr>
      <w:r>
        <w:rPr>
          <w:rFonts w:hAnsi="Times New Roman" w:cs="Times New Roman"/>
          <w:b/>
          <w:bCs/>
          <w:color w:val="000000"/>
          <w:sz w:val="24"/>
          <w:szCs w:val="24"/>
        </w:rPr>
        <w:t>5.4. Порядок предоставления сведений и отчетов по безопасности лекарственных препаратов в Росздравнадзор ответственным по вопросам мониторинга безопасности ЛС и МИ</w:t>
      </w:r>
    </w:p>
    <w:p>
      <w:pPr>
        <w:spacing w:line="240" w:lineRule="auto"/>
        <w:rPr>
          <w:rFonts w:hAnsi="Times New Roman" w:cs="Times New Roman"/>
          <w:color w:val="000000"/>
          <w:sz w:val="24"/>
          <w:szCs w:val="24"/>
        </w:rPr>
      </w:pPr>
      <w:r>
        <w:rPr>
          <w:rFonts w:hAnsi="Times New Roman" w:cs="Times New Roman"/>
          <w:color w:val="000000"/>
          <w:sz w:val="24"/>
          <w:szCs w:val="24"/>
        </w:rPr>
        <w:t>5.4.1. Ответственное лицо по вопросам мониторинга безопасности ЛС и МИ регистрирует карту-извещение о НПР в «Журнале учета выявленных неблагоприятных побочных реакций при применении лекарственных средств и медицинских изделий» (приложение 3).</w:t>
      </w:r>
    </w:p>
    <w:p>
      <w:pPr>
        <w:spacing w:line="240" w:lineRule="auto"/>
        <w:rPr>
          <w:rFonts w:hAnsi="Times New Roman" w:cs="Times New Roman"/>
          <w:color w:val="000000"/>
          <w:sz w:val="24"/>
          <w:szCs w:val="24"/>
        </w:rPr>
      </w:pPr>
      <w:r>
        <w:rPr>
          <w:rFonts w:hAnsi="Times New Roman" w:cs="Times New Roman"/>
          <w:color w:val="000000"/>
          <w:sz w:val="24"/>
          <w:szCs w:val="24"/>
        </w:rPr>
        <w:t xml:space="preserve">5.4.2. При выявлении </w:t>
      </w:r>
      <w:r>
        <w:rPr>
          <w:rFonts w:hAnsi="Times New Roman" w:cs="Times New Roman"/>
          <w:b/>
          <w:bCs/>
          <w:color w:val="000000"/>
          <w:sz w:val="24"/>
          <w:szCs w:val="24"/>
        </w:rPr>
        <w:t>серьезных нежелательных реакций</w:t>
      </w:r>
      <w:r>
        <w:rPr>
          <w:rFonts w:hAnsi="Times New Roman" w:cs="Times New Roman"/>
          <w:color w:val="000000"/>
          <w:sz w:val="24"/>
          <w:szCs w:val="24"/>
        </w:rPr>
        <w:t xml:space="preserve"> на лекарственные средства или медицинские изделия передает </w:t>
      </w:r>
      <w:r>
        <w:rPr>
          <w:rFonts w:hAnsi="Times New Roman" w:cs="Times New Roman"/>
          <w:b/>
          <w:bCs/>
          <w:color w:val="000000"/>
          <w:sz w:val="24"/>
          <w:szCs w:val="24"/>
        </w:rPr>
        <w:t>электронный вариант</w:t>
      </w:r>
      <w:r>
        <w:rPr>
          <w:rFonts w:hAnsi="Times New Roman" w:cs="Times New Roman"/>
          <w:color w:val="000000"/>
          <w:sz w:val="24"/>
          <w:szCs w:val="24"/>
        </w:rPr>
        <w:t xml:space="preserve"> карты-извещения в Региональный центр (если такой имеется в субъекте РФ).</w:t>
      </w:r>
    </w:p>
    <w:p>
      <w:pPr>
        <w:spacing w:line="240" w:lineRule="auto"/>
        <w:rPr>
          <w:rFonts w:hAnsi="Times New Roman" w:cs="Times New Roman"/>
          <w:color w:val="000000"/>
          <w:sz w:val="24"/>
          <w:szCs w:val="24"/>
        </w:rPr>
      </w:pPr>
      <w:r>
        <w:rPr>
          <w:rFonts w:hAnsi="Times New Roman" w:cs="Times New Roman"/>
          <w:color w:val="000000"/>
          <w:sz w:val="24"/>
          <w:szCs w:val="24"/>
        </w:rPr>
        <w:t>5.4.3. При наличии доступа в электронную систему возможна электронная регистрация пользователя и работа в базе данных «Фармаконадзора» по следующему алгоритму, описанному в приложении 4.</w:t>
      </w:r>
    </w:p>
    <w:p>
      <w:pPr>
        <w:spacing w:line="240" w:lineRule="auto"/>
        <w:rPr>
          <w:rFonts w:hAnsi="Times New Roman" w:cs="Times New Roman"/>
          <w:color w:val="000000"/>
          <w:sz w:val="24"/>
          <w:szCs w:val="24"/>
        </w:rPr>
      </w:pPr>
      <w:r>
        <w:rPr>
          <w:rFonts w:hAnsi="Times New Roman" w:cs="Times New Roman"/>
          <w:color w:val="000000"/>
          <w:sz w:val="24"/>
          <w:szCs w:val="24"/>
        </w:rPr>
        <w:t>5.4.4. Копия карты-извещения остается в ЛПУ.</w:t>
      </w:r>
    </w:p>
    <w:p>
      <w:pPr>
        <w:spacing w:line="240" w:lineRule="auto"/>
        <w:rPr>
          <w:rFonts w:hAnsi="Times New Roman" w:cs="Times New Roman"/>
          <w:color w:val="000000"/>
          <w:sz w:val="24"/>
          <w:szCs w:val="24"/>
        </w:rPr>
      </w:pPr>
      <w:r>
        <w:rPr>
          <w:rFonts w:hAnsi="Times New Roman" w:cs="Times New Roman"/>
          <w:color w:val="000000"/>
          <w:sz w:val="24"/>
          <w:szCs w:val="24"/>
        </w:rPr>
        <w:t xml:space="preserve">5.4.5. Ответственное лицо осуществляет подачу ежеквартального с нарастающим итогом отчета </w:t>
      </w:r>
      <w:r>
        <w:rPr>
          <w:rFonts w:hAnsi="Times New Roman" w:cs="Times New Roman"/>
          <w:b/>
          <w:bCs/>
          <w:color w:val="000000"/>
          <w:sz w:val="24"/>
          <w:szCs w:val="24"/>
        </w:rPr>
        <w:t>в срок до 1-го числа</w:t>
      </w:r>
      <w:r>
        <w:rPr>
          <w:rFonts w:hAnsi="Times New Roman" w:cs="Times New Roman"/>
          <w:color w:val="000000"/>
          <w:sz w:val="24"/>
          <w:szCs w:val="24"/>
        </w:rPr>
        <w:t xml:space="preserve"> месяца, следующего за отчетным кварталом, в электронном и печатном вариантах; годового отчета </w:t>
      </w:r>
      <w:r>
        <w:rPr>
          <w:rFonts w:hAnsi="Times New Roman" w:cs="Times New Roman"/>
          <w:b/>
          <w:bCs/>
          <w:color w:val="000000"/>
          <w:sz w:val="24"/>
          <w:szCs w:val="24"/>
        </w:rPr>
        <w:t>не позднее 15 января</w:t>
      </w:r>
      <w:r>
        <w:rPr>
          <w:rFonts w:hAnsi="Times New Roman" w:cs="Times New Roman"/>
          <w:color w:val="000000"/>
          <w:sz w:val="24"/>
          <w:szCs w:val="24"/>
        </w:rPr>
        <w:t xml:space="preserve"> года, следующего за отчетным (приложение 5).</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5.5. Документация системы качества фармаконадзора </w:t>
      </w:r>
    </w:p>
    <w:p>
      <w:pPr>
        <w:spacing w:line="240" w:lineRule="auto"/>
        <w:rPr>
          <w:rFonts w:hAnsi="Times New Roman" w:cs="Times New Roman"/>
          <w:color w:val="000000"/>
          <w:sz w:val="24"/>
          <w:szCs w:val="24"/>
        </w:rPr>
      </w:pPr>
      <w:r>
        <w:rPr>
          <w:rFonts w:hAnsi="Times New Roman" w:cs="Times New Roman"/>
          <w:color w:val="000000"/>
          <w:sz w:val="24"/>
          <w:szCs w:val="24"/>
        </w:rPr>
        <w:t>5.5.1. Документ (приказ) о назначении уполномоченного за организацию и проведение мониторинга безопасности лекарственных препаратов и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5.5.2. Стандартная операционная процедура по организации и проведению мониторинга безопасности лекарственных препаратов, медицинских изделий, регистрации побочных действий, серьезных нежелательных реакций, непредвиденных нежелательных реакций при применении лекарственных препаратов для медицинского применения</w:t>
      </w:r>
    </w:p>
    <w:p>
      <w:pPr>
        <w:spacing w:line="240" w:lineRule="auto"/>
        <w:rPr>
          <w:rFonts w:hAnsi="Times New Roman" w:cs="Times New Roman"/>
          <w:color w:val="000000"/>
          <w:sz w:val="24"/>
          <w:szCs w:val="24"/>
        </w:rPr>
      </w:pPr>
      <w:r>
        <w:rPr>
          <w:rFonts w:hAnsi="Times New Roman" w:cs="Times New Roman"/>
          <w:color w:val="000000"/>
          <w:sz w:val="24"/>
          <w:szCs w:val="24"/>
        </w:rPr>
        <w:t>5.5.3. Журнал учета выявленных неблагоприятных побочных реакций при применении лекарственных средств и медицинских изделий для медицинских организаций.</w:t>
      </w:r>
    </w:p>
    <w:p>
      <w:pPr>
        <w:spacing w:line="240" w:lineRule="auto"/>
        <w:rPr>
          <w:rFonts w:hAnsi="Times New Roman" w:cs="Times New Roman"/>
          <w:color w:val="000000"/>
          <w:sz w:val="24"/>
          <w:szCs w:val="24"/>
        </w:rPr>
      </w:pPr>
      <w:r>
        <w:rPr>
          <w:rFonts w:hAnsi="Times New Roman" w:cs="Times New Roman"/>
          <w:color w:val="000000"/>
          <w:sz w:val="24"/>
          <w:szCs w:val="24"/>
        </w:rPr>
        <w:t>5.5.4. Ежеквартальный отчет по мониторингу безопасности лекарственных средств и медицинских изделий для медицинских организаций.</w:t>
      </w:r>
    </w:p>
    <w:p>
      <w:pPr>
        <w:spacing w:line="240" w:lineRule="auto"/>
        <w:rPr>
          <w:rFonts w:hAnsi="Times New Roman" w:cs="Times New Roman"/>
          <w:color w:val="000000"/>
          <w:sz w:val="24"/>
          <w:szCs w:val="24"/>
        </w:rPr>
      </w:pPr>
      <w:r>
        <w:rPr>
          <w:rFonts w:hAnsi="Times New Roman" w:cs="Times New Roman"/>
          <w:color w:val="000000"/>
          <w:sz w:val="24"/>
          <w:szCs w:val="24"/>
        </w:rPr>
        <w:t>5.5.5. План обучения и отчеты по проведенному обучению.</w:t>
      </w:r>
    </w:p>
    <w:p>
      <w:pPr>
        <w:spacing w:line="240" w:lineRule="auto"/>
        <w:rPr>
          <w:rFonts w:hAnsi="Times New Roman" w:cs="Times New Roman"/>
          <w:color w:val="000000"/>
          <w:sz w:val="24"/>
          <w:szCs w:val="24"/>
        </w:rPr>
      </w:pPr>
      <w:r>
        <w:rPr>
          <w:rFonts w:hAnsi="Times New Roman" w:cs="Times New Roman"/>
          <w:color w:val="000000"/>
          <w:sz w:val="24"/>
          <w:szCs w:val="24"/>
        </w:rPr>
        <w:t>5.5.6. Акты проверки и отчеты по аудиту и последующему аудиту системы качества, включая полученные данные и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5.5.7. При наличии заполненных карт извещений – отчеты по результатам выполненных действий.</w:t>
      </w:r>
    </w:p>
    <w:p>
      <w:pPr>
        <w:spacing w:line="240" w:lineRule="auto"/>
        <w:rPr>
          <w:rFonts w:hAnsi="Times New Roman" w:cs="Times New Roman"/>
          <w:color w:val="000000"/>
          <w:sz w:val="24"/>
          <w:szCs w:val="24"/>
        </w:rPr>
      </w:pPr>
      <w:r>
        <w:rPr>
          <w:rFonts w:hAnsi="Times New Roman" w:cs="Times New Roman"/>
          <w:b/>
          <w:bCs/>
          <w:color w:val="000000"/>
          <w:sz w:val="24"/>
          <w:szCs w:val="24"/>
        </w:rPr>
        <w:t>5.6. Информация о результатах фармаконадзора</w:t>
      </w:r>
    </w:p>
    <w:p>
      <w:pPr>
        <w:spacing w:line="240" w:lineRule="auto"/>
        <w:rPr>
          <w:rFonts w:hAnsi="Times New Roman" w:cs="Times New Roman"/>
          <w:color w:val="000000"/>
          <w:sz w:val="24"/>
          <w:szCs w:val="24"/>
        </w:rPr>
      </w:pPr>
      <w:r>
        <w:rPr>
          <w:rFonts w:hAnsi="Times New Roman" w:cs="Times New Roman"/>
          <w:color w:val="000000"/>
          <w:sz w:val="24"/>
          <w:szCs w:val="24"/>
        </w:rPr>
        <w:t>5.6.1. Росздравнадзор получает информацию о побочных действиях, серьезных нежелательных реакциях, непредвиденных нежелательных реакциях и принимает решение о возможности принятия решений о внесении изменений в инструкцию по применению лекарственного препарата, о приостановлении применения лекарственного препарата, об изъятии из обращения лекарственного препарата или о возобновлении применения лекарственного препарата.</w:t>
      </w:r>
    </w:p>
    <w:p>
      <w:pPr>
        <w:spacing w:line="240" w:lineRule="auto"/>
        <w:rPr>
          <w:rFonts w:hAnsi="Times New Roman" w:cs="Times New Roman"/>
          <w:color w:val="000000"/>
          <w:sz w:val="24"/>
          <w:szCs w:val="24"/>
        </w:rPr>
      </w:pPr>
      <w:r>
        <w:rPr>
          <w:rFonts w:hAnsi="Times New Roman" w:cs="Times New Roman"/>
          <w:color w:val="000000"/>
          <w:sz w:val="24"/>
          <w:szCs w:val="24"/>
        </w:rPr>
        <w:t>5.6.2. В случае если по результатам мониторинга будет установлено, что применение лекарственного препарата представляет угрозу жизни или здоровью пациентов, сведения о лекарственном препарате не соответствуют сведениям о лекарственном препарате, содержащимся в инструкции по его применению, Минздравом принимается решение о приостановлении применения лекарственного препарата, о внесении изменений в инструкцию по применению лекарственного препарата, об изъятии из обращения лекарственного препарата.</w:t>
      </w:r>
    </w:p>
    <w:p>
      <w:pPr>
        <w:spacing w:line="240" w:lineRule="auto"/>
        <w:rPr>
          <w:rFonts w:hAnsi="Times New Roman" w:cs="Times New Roman"/>
          <w:color w:val="000000"/>
          <w:sz w:val="24"/>
          <w:szCs w:val="24"/>
        </w:rPr>
      </w:pPr>
      <w:r>
        <w:rPr>
          <w:rFonts w:hAnsi="Times New Roman" w:cs="Times New Roman"/>
          <w:b/>
          <w:bCs/>
          <w:color w:val="000000"/>
          <w:sz w:val="24"/>
          <w:szCs w:val="24"/>
        </w:rPr>
        <w:t>6. Алгоритм оценки неблагоприятной побочной реакции</w:t>
      </w:r>
    </w:p>
    <w:p>
      <w:r>
        <w:rPr>
          <w:noProof/>
        </w:rPr>
        <w:drawing>
          <wp:inline xmlns:wp="http://schemas.openxmlformats.org/drawingml/2006/wordprocessingDrawing" distT="0" distB="0" distL="0" distR="0">
            <wp:extent cx="5732144" cy="3995131"/>
            <wp:effectExtent l="0" t="0" r="0" b="0"/>
            <wp:docPr id="1" name="Picture 1" descr="/api/doc/v1/image/-28580789?moduleId=118&amp;id=7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i/doc/v1/image/-28580789?moduleId=118&amp;id=70041"/>
                    <pic:cNvPicPr>
                      <a:picLocks noChangeAspect="1" noChangeArrowheads="1"/>
                    </pic:cNvPicPr>
                  </pic:nvPicPr>
                  <pic:blipFill>
                    <a:blip r:embed="R6fb8cf10780d4e12a2b7677a0ceead05">
                      <a:extLst>
                        <a:ext uri="{28A0092B-C50C-407E-A947-70E740481C1C}">
                          <a14:useLocalDpi xmlns:a14="http://schemas.microsoft.com/office/drawing/2010/main" val="0"/>
                        </a:ext>
                      </a:extLst>
                    </a:blip>
                    <a:stretch>
                      <a:fillRect/>
                    </a:stretch>
                  </pic:blipFill>
                  <pic:spPr bwMode="auto">
                    <a:xfrm>
                      <a:off x="0" y="0"/>
                      <a:ext cx="5732144" cy="3995131"/>
                    </a:xfrm>
                    <a:prstGeom prst="rect">
                      <a:avLst/>
                    </a:prstGeom>
                    <a:noFill/>
                    <a:ln>
                      <a:noFill/>
                    </a:ln>
                  </pic:spPr>
                </pic:pic>
              </a:graphicData>
            </a:graphic>
          </wp:inline>
        </w:drawing>
      </w:r>
    </w:p>
    <w:p>
      <w:pPr>
        <w:spacing w:line="240" w:lineRule="auto"/>
        <w:jc w:val="right"/>
        <w:rPr>
          <w:rFonts w:hAnsi="Times New Roman" w:cs="Times New Roman"/>
          <w:color w:val="000000"/>
          <w:sz w:val="24"/>
          <w:szCs w:val="24"/>
        </w:rPr>
      </w:pPr>
      <w:r>
        <w:rPr>
          <w:rFonts w:hAnsi="Times New Roman" w:cs="Times New Roman"/>
          <w:b/>
          <w:bCs/>
          <w:color w:val="000000"/>
          <w:sz w:val="24"/>
          <w:szCs w:val="24"/>
        </w:rPr>
        <w:t>Приложение</w:t>
      </w:r>
      <w:r>
        <w:rPr>
          <w:rFonts w:hAnsi="Times New Roman" w:cs="Times New Roman"/>
          <w:b/>
          <w:bCs/>
          <w:color w:val="000000"/>
          <w:sz w:val="24"/>
          <w:szCs w:val="24"/>
        </w:rPr>
        <w:t>1</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Источники информации о нежелательных реакциях лекарственных препаратов и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1. Для поиска данных о безопасности лекарственных средств можно воспользоваться информацией по адресу: http://www.ema.europa.eu/</w:t>
      </w:r>
    </w:p>
    <w:p>
      <w:pPr>
        <w:spacing w:line="240" w:lineRule="auto"/>
        <w:rPr>
          <w:rFonts w:hAnsi="Times New Roman" w:cs="Times New Roman"/>
          <w:color w:val="000000"/>
          <w:sz w:val="24"/>
          <w:szCs w:val="24"/>
        </w:rPr>
      </w:pPr>
      <w:r>
        <w:rPr>
          <w:rFonts w:hAnsi="Times New Roman" w:cs="Times New Roman"/>
          <w:color w:val="000000"/>
          <w:sz w:val="24"/>
          <w:szCs w:val="24"/>
        </w:rPr>
        <w:t>На данном сайте представлены основные мероприятия, проводимые по фармаконадзору за рубежом, можно найти информацию об уже существующем лекарственном препарате.</w:t>
      </w:r>
    </w:p>
    <w:p>
      <w:pPr>
        <w:spacing w:line="240" w:lineRule="auto"/>
        <w:rPr>
          <w:rFonts w:hAnsi="Times New Roman" w:cs="Times New Roman"/>
          <w:color w:val="000000"/>
          <w:sz w:val="24"/>
          <w:szCs w:val="24"/>
        </w:rPr>
      </w:pPr>
      <w:r>
        <w:rPr>
          <w:rFonts w:hAnsi="Times New Roman" w:cs="Times New Roman"/>
          <w:color w:val="000000"/>
          <w:sz w:val="24"/>
          <w:szCs w:val="24"/>
        </w:rPr>
        <w:t>2. Данными сайта https://www.ich.org/</w:t>
      </w:r>
    </w:p>
    <w:p>
      <w:pPr>
        <w:spacing w:line="240" w:lineRule="auto"/>
        <w:rPr>
          <w:rFonts w:hAnsi="Times New Roman" w:cs="Times New Roman"/>
          <w:color w:val="000000"/>
          <w:sz w:val="24"/>
          <w:szCs w:val="24"/>
        </w:rPr>
      </w:pPr>
      <w:r>
        <w:rPr>
          <w:rFonts w:hAnsi="Times New Roman" w:cs="Times New Roman"/>
          <w:color w:val="000000"/>
          <w:sz w:val="24"/>
          <w:szCs w:val="24"/>
        </w:rPr>
        <w:t>На данном сайте представлена информация об эффективности как уже известных лекарственных препаратов, так и новых ЛП, составлены отчеты о клинических испытаниях. Данный ресурс дает информацию о новых типах лекарств и новых типах биотехнологических процессов, используемых для их получения.</w:t>
      </w:r>
    </w:p>
    <w:p>
      <w:pPr>
        <w:spacing w:line="240" w:lineRule="auto"/>
        <w:rPr>
          <w:rFonts w:hAnsi="Times New Roman" w:cs="Times New Roman"/>
          <w:color w:val="000000"/>
          <w:sz w:val="24"/>
          <w:szCs w:val="24"/>
        </w:rPr>
      </w:pPr>
      <w:r>
        <w:rPr>
          <w:rFonts w:hAnsi="Times New Roman" w:cs="Times New Roman"/>
          <w:color w:val="000000"/>
          <w:sz w:val="24"/>
          <w:szCs w:val="24"/>
        </w:rPr>
        <w:t>3. Информацию о побочных действиях, в том числе побочных действиях, не указанных в инструкциях по применению лекарственных препаратов, можно найти на сайте https://www.drugs.com/sfx.</w:t>
      </w:r>
    </w:p>
    <w:p>
      <w:pPr>
        <w:spacing w:line="240" w:lineRule="auto"/>
        <w:rPr>
          <w:rFonts w:hAnsi="Times New Roman" w:cs="Times New Roman"/>
          <w:color w:val="000000"/>
          <w:sz w:val="24"/>
          <w:szCs w:val="24"/>
        </w:rPr>
      </w:pPr>
      <w:r>
        <w:rPr>
          <w:rFonts w:hAnsi="Times New Roman" w:cs="Times New Roman"/>
          <w:color w:val="000000"/>
          <w:sz w:val="24"/>
          <w:szCs w:val="24"/>
        </w:rPr>
        <w:t>4. Информацию о побочных действиях и нежелательных реакциях можно найти в инструкции по применению лекарственного препарата, расположенной на сайте http://grls.rosminzdrav.ru.</w:t>
      </w:r>
    </w:p>
    <w:p>
      <w:pPr>
        <w:spacing w:line="240" w:lineRule="auto"/>
        <w:rPr>
          <w:rFonts w:hAnsi="Times New Roman" w:cs="Times New Roman"/>
          <w:color w:val="000000"/>
          <w:sz w:val="24"/>
          <w:szCs w:val="24"/>
        </w:rPr>
      </w:pPr>
      <w:r>
        <w:rPr>
          <w:rFonts w:hAnsi="Times New Roman" w:cs="Times New Roman"/>
          <w:color w:val="000000"/>
          <w:sz w:val="24"/>
          <w:szCs w:val="24"/>
        </w:rPr>
        <w:t>5. Необходимо с вниманием относиться к информации о серьезных нежелательных реакциях, приведших к смерти, врожденным аномалиям или порокам развития либо представляющих угрозу жизни, требующих госпитализации или приведших к стойкой утрате трудоспособности и (или) инвалидности.</w:t>
      </w:r>
    </w:p>
    <w:p>
      <w:pPr>
        <w:spacing w:line="240" w:lineRule="auto"/>
        <w:rPr>
          <w:rFonts w:hAnsi="Times New Roman" w:cs="Times New Roman"/>
          <w:color w:val="000000"/>
          <w:sz w:val="24"/>
          <w:szCs w:val="24"/>
        </w:rPr>
      </w:pPr>
      <w:r>
        <w:rPr>
          <w:rFonts w:hAnsi="Times New Roman" w:cs="Times New Roman"/>
          <w:color w:val="000000"/>
          <w:sz w:val="24"/>
          <w:szCs w:val="24"/>
        </w:rPr>
        <w:t>Примерами лекарственных препаратов, которые были удалены с фармацевтического рынка в связи с подобными реакциями, являются препараты, в основе которых было действующее вещество терфенадин. Данный препарат вызывал сердцебиение, боль в желудке, пожелтение глаз или кожи, обмороки, головокружение, дискомфорт в области живота, сухую кожу или зуд, удлинение интервала QT, головную боль, доброкачественную гипертрофию простаты, острый гепатит, холестатический гепатит, желтуху и печеночную дисфункцию.</w:t>
      </w:r>
    </w:p>
    <w:p>
      <w:pPr>
        <w:spacing w:line="240" w:lineRule="auto"/>
        <w:rPr>
          <w:rFonts w:hAnsi="Times New Roman" w:cs="Times New Roman"/>
          <w:color w:val="000000"/>
          <w:sz w:val="24"/>
          <w:szCs w:val="24"/>
        </w:rPr>
      </w:pPr>
      <w:r>
        <w:rPr>
          <w:rFonts w:hAnsi="Times New Roman" w:cs="Times New Roman"/>
          <w:color w:val="000000"/>
          <w:sz w:val="24"/>
          <w:szCs w:val="24"/>
        </w:rPr>
        <w:t>Другим примером может быть препарат астемизол, который вызывал сердечные проблемы, смерть, остановку сердца, удлинение QT-интервала, желудочковые аритмии, сердечные аритмии, брадикардию, гипотонию.</w:t>
      </w:r>
    </w:p>
    <w:p>
      <w:pPr>
        <w:spacing w:line="240" w:lineRule="auto"/>
        <w:rPr>
          <w:rFonts w:hAnsi="Times New Roman" w:cs="Times New Roman"/>
          <w:color w:val="000000"/>
          <w:sz w:val="24"/>
          <w:szCs w:val="24"/>
        </w:rPr>
      </w:pPr>
      <w:r>
        <w:rPr>
          <w:rFonts w:hAnsi="Times New Roman" w:cs="Times New Roman"/>
          <w:color w:val="000000"/>
          <w:sz w:val="24"/>
          <w:szCs w:val="24"/>
        </w:rPr>
        <w:t>6. Важно иметь информацию о непредвиденных нежелательных реакциях, в том числе связанных с применением лекарственного препарата в соответствии с инструкцией по применению, сущность и тяжесть которых не соответствовали информации о лекарственном препарате, содержащейся в инструкции по его применению.</w:t>
      </w:r>
    </w:p>
    <w:p>
      <w:pPr>
        <w:spacing w:line="240" w:lineRule="auto"/>
        <w:rPr>
          <w:rFonts w:hAnsi="Times New Roman" w:cs="Times New Roman"/>
          <w:color w:val="000000"/>
          <w:sz w:val="24"/>
          <w:szCs w:val="24"/>
        </w:rPr>
      </w:pPr>
      <w:r>
        <w:rPr>
          <w:rFonts w:hAnsi="Times New Roman" w:cs="Times New Roman"/>
          <w:color w:val="000000"/>
          <w:sz w:val="24"/>
          <w:szCs w:val="24"/>
        </w:rPr>
        <w:t>Например, препараты были удалены с фармацевтического рынка или для них была сужена область применения. Такими препаратами являлись фенилпропаноламин, вызывающий повышенный риск инсульта, талидомид (риск тератогенности), нимесулид (возраст менее 13 лет), вызывающий опасные для жизни гепатотоксические эффекты.</w:t>
      </w:r>
    </w:p>
    <w:p>
      <w:pPr>
        <w:spacing w:line="240" w:lineRule="auto"/>
        <w:rPr>
          <w:rFonts w:hAnsi="Times New Roman" w:cs="Times New Roman"/>
          <w:color w:val="000000"/>
          <w:sz w:val="24"/>
          <w:szCs w:val="24"/>
        </w:rPr>
      </w:pPr>
      <w:r>
        <w:rPr>
          <w:rFonts w:hAnsi="Times New Roman" w:cs="Times New Roman"/>
          <w:color w:val="000000"/>
          <w:sz w:val="24"/>
          <w:szCs w:val="24"/>
        </w:rPr>
        <w:t>7. Особенности взаимодействия лекарственных препаратов с другими лекарственными препаратами, которые были выявлены при проведении клинических исследований и применении лекарственных препаратов, также имеют большое значение в фармаконадзоре.</w:t>
      </w:r>
    </w:p>
    <w:p>
      <w:pPr>
        <w:spacing w:line="240" w:lineRule="auto"/>
        <w:rPr>
          <w:rFonts w:hAnsi="Times New Roman" w:cs="Times New Roman"/>
          <w:color w:val="000000"/>
          <w:sz w:val="24"/>
          <w:szCs w:val="24"/>
        </w:rPr>
      </w:pPr>
      <w:r>
        <w:rPr>
          <w:rFonts w:hAnsi="Times New Roman" w:cs="Times New Roman"/>
          <w:color w:val="000000"/>
          <w:sz w:val="24"/>
          <w:szCs w:val="24"/>
        </w:rPr>
        <w:t>Необходимо понимать, что существуют различные типы взаимодействия лекарственных препаратов:</w:t>
      </w:r>
    </w:p>
    <w:p>
      <w:pPr>
        <w:spacing w:line="240" w:lineRule="auto"/>
        <w:rPr>
          <w:rFonts w:hAnsi="Times New Roman" w:cs="Times New Roman"/>
          <w:color w:val="000000"/>
          <w:sz w:val="24"/>
          <w:szCs w:val="24"/>
        </w:rPr>
      </w:pPr>
      <w:r>
        <w:rPr>
          <w:rFonts w:hAnsi="Times New Roman" w:cs="Times New Roman"/>
          <w:color w:val="000000"/>
          <w:sz w:val="24"/>
          <w:szCs w:val="24"/>
        </w:rPr>
        <w:t>1. Несовместимость лекарственных препаратов с организмом в процессе абсорбции, метаболизма и элиминации.</w:t>
      </w:r>
    </w:p>
    <w:p>
      <w:pPr>
        <w:spacing w:line="240" w:lineRule="auto"/>
        <w:rPr>
          <w:rFonts w:hAnsi="Times New Roman" w:cs="Times New Roman"/>
          <w:color w:val="000000"/>
          <w:sz w:val="24"/>
          <w:szCs w:val="24"/>
        </w:rPr>
      </w:pPr>
      <w:r>
        <w:rPr>
          <w:rFonts w:hAnsi="Times New Roman" w:cs="Times New Roman"/>
          <w:color w:val="000000"/>
          <w:sz w:val="24"/>
          <w:szCs w:val="24"/>
        </w:rPr>
        <w:t>2. Связывание лекарственных препаратов друг с другом в пищеварительном тракте.</w:t>
      </w:r>
    </w:p>
    <w:p>
      <w:pPr>
        <w:spacing w:line="240" w:lineRule="auto"/>
        <w:rPr>
          <w:rFonts w:hAnsi="Times New Roman" w:cs="Times New Roman"/>
          <w:color w:val="000000"/>
          <w:sz w:val="24"/>
          <w:szCs w:val="24"/>
        </w:rPr>
      </w:pPr>
      <w:r>
        <w:rPr>
          <w:rFonts w:hAnsi="Times New Roman" w:cs="Times New Roman"/>
          <w:color w:val="000000"/>
          <w:sz w:val="24"/>
          <w:szCs w:val="24"/>
        </w:rPr>
        <w:t>3. Взаимодействие в печени и желудочно-кишечном тракте из-за изменения характеристик метаболизма лекарственного средства, вызванного другими лекарственными средствами (катализаторами или ингибиторами).</w:t>
      </w:r>
    </w:p>
    <w:p>
      <w:pPr>
        <w:spacing w:line="240" w:lineRule="auto"/>
        <w:rPr>
          <w:rFonts w:hAnsi="Times New Roman" w:cs="Times New Roman"/>
          <w:color w:val="000000"/>
          <w:sz w:val="24"/>
          <w:szCs w:val="24"/>
        </w:rPr>
      </w:pPr>
      <w:r>
        <w:rPr>
          <w:rFonts w:hAnsi="Times New Roman" w:cs="Times New Roman"/>
          <w:color w:val="000000"/>
          <w:sz w:val="24"/>
          <w:szCs w:val="24"/>
        </w:rPr>
        <w:t>4. Некоторые лекарственные препараты могут взаимодействовать между собой, усиливая одновременно действие друг друга.</w:t>
      </w:r>
    </w:p>
    <w:tbl>
      <w:tblPr>
        <w:tblW w:w="5000" w:type="pct"/>
        <w:tblCellMar>
          <w:top w:w="15" w:type="dxa"/>
          <w:left w:w="15" w:type="dxa"/>
          <w:bottom w:w="15" w:type="dxa"/>
          <w:right w:w="15" w:type="dxa"/>
        </w:tblCellMar>
        <w:tblLook w:val="0600"/>
      </w:tblPr>
      <w:tblGrid>
        <w:gridCol w:w="1440"/>
        <w:gridCol w:w="1440"/>
      </w:tblGrid>
      <w:tr>
        <w:trPr>
          <w:trHeight w:val="0"/>
        </w:trPr>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Комбинация лекарственных препаратов</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Особенности взаимодействия</w:t>
            </w:r>
          </w:p>
        </w:tc>
      </w:tr>
      <w:tr>
        <w:trPr>
          <w:trHeight w:val="0"/>
        </w:trPr>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Варфарин + ацетилсалициловая кислота (клопидогрел, дипидамол)</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Риск развития кровотечений</w:t>
            </w:r>
          </w:p>
        </w:tc>
      </w:tr>
      <w:tr>
        <w:trPr>
          <w:trHeight w:val="0"/>
        </w:trPr>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Варфарин + нестероидные противовоспалительные препараты</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Риск развития кровотечений</w:t>
            </w:r>
          </w:p>
        </w:tc>
      </w:tr>
      <w:tr>
        <w:trPr>
          <w:trHeight w:val="0"/>
        </w:trPr>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Фторхинолоны + двух- и трехвалентные катионы металлов</w:t>
            </w:r>
          </w:p>
        </w:tc>
        <w:tc>
          <w:tcPr>
            <w:tcW w:w="45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Снижение адсорбции лекарственного препарата</w:t>
            </w:r>
          </w:p>
        </w:tc>
      </w:tr>
    </w:tbl>
    <w:p>
      <w:pPr>
        <w:spacing w:line="240" w:lineRule="auto"/>
        <w:rPr>
          <w:rFonts w:hAnsi="Times New Roman" w:cs="Times New Roman"/>
          <w:color w:val="000000"/>
          <w:sz w:val="24"/>
          <w:szCs w:val="24"/>
        </w:rPr>
      </w:pPr>
      <w:r>
        <w:rPr>
          <w:rFonts w:hAnsi="Times New Roman" w:cs="Times New Roman"/>
          <w:color w:val="000000"/>
          <w:sz w:val="24"/>
          <w:szCs w:val="24"/>
        </w:rPr>
        <w:t>5. Очень важной является информация о клинически значимых осложнениях применения лекарственных средств в период беременности и кормления грудью.</w:t>
      </w:r>
    </w:p>
    <w:p>
      <w:pPr>
        <w:spacing w:line="240" w:lineRule="auto"/>
        <w:rPr>
          <w:rFonts w:hAnsi="Times New Roman" w:cs="Times New Roman"/>
          <w:color w:val="000000"/>
          <w:sz w:val="24"/>
          <w:szCs w:val="24"/>
        </w:rPr>
      </w:pPr>
      <w:r>
        <w:rPr>
          <w:rFonts w:hAnsi="Times New Roman" w:cs="Times New Roman"/>
          <w:color w:val="000000"/>
          <w:sz w:val="24"/>
          <w:szCs w:val="24"/>
        </w:rPr>
        <w:t>Очень часто производители лекарственных препаратов при проведении клинических испытаний не включают беременных женщин в категорию испытуемых, что, безусловно, затрудняет принятие решения о назначении данного препарата врачом. Информацию о применении лекарственного препарата при беременности и кормлении грудью можно найти на сайте https://www.entis-org.eu. Также полезными сайтами в данном вопросе могут: тератологическое общество (www.teratology.org), международный информационно-координационный центр систем мониторинга врожденных дефектов (http://www.icbd.org).</w:t>
      </w:r>
    </w:p>
    <w:p>
      <w:pPr>
        <w:spacing w:line="240" w:lineRule="auto"/>
        <w:rPr>
          <w:rFonts w:hAnsi="Times New Roman" w:cs="Times New Roman"/>
          <w:color w:val="000000"/>
          <w:sz w:val="24"/>
          <w:szCs w:val="24"/>
        </w:rPr>
      </w:pPr>
      <w:r>
        <w:rPr>
          <w:rFonts w:hAnsi="Times New Roman" w:cs="Times New Roman"/>
          <w:color w:val="000000"/>
          <w:sz w:val="24"/>
          <w:szCs w:val="24"/>
        </w:rPr>
        <w:t>6. Неэффективность лекарственных препаратов или эффективность в другой области.</w:t>
      </w:r>
    </w:p>
    <w:p>
      <w:pPr>
        <w:spacing w:line="240" w:lineRule="auto"/>
        <w:rPr>
          <w:rFonts w:hAnsi="Times New Roman" w:cs="Times New Roman"/>
          <w:color w:val="000000"/>
          <w:sz w:val="24"/>
          <w:szCs w:val="24"/>
        </w:rPr>
      </w:pPr>
      <w:r>
        <w:rPr>
          <w:rFonts w:hAnsi="Times New Roman" w:cs="Times New Roman"/>
          <w:color w:val="000000"/>
          <w:sz w:val="24"/>
          <w:szCs w:val="24"/>
        </w:rPr>
        <w:t>О неэффективности лекарственных препаратов, поступивших на фармацевтический рынок, как правило, говорить не приходится, поскольку все они прошли уже клинические испытания и имеют инструкцию по применению. Однако и в этой области есть интересные примеры. Например, препарат зидовудин впервые был изучен как противораковый препарат в 1960-х годах и имел неутешительные результаты. 20 лет спустя исследователи обнаружили, что препарат может лечить СПИД.</w:t>
      </w:r>
    </w:p>
    <w:p>
      <w:pPr>
        <w:spacing w:line="240" w:lineRule="auto"/>
        <w:rPr>
          <w:rFonts w:hAnsi="Times New Roman" w:cs="Times New Roman"/>
          <w:color w:val="000000"/>
          <w:sz w:val="24"/>
          <w:szCs w:val="24"/>
        </w:rPr>
      </w:pPr>
      <w:r>
        <w:rPr>
          <w:rFonts w:hAnsi="Times New Roman" w:cs="Times New Roman"/>
          <w:color w:val="000000"/>
          <w:sz w:val="24"/>
          <w:szCs w:val="24"/>
        </w:rPr>
        <w:t>7. Развитие лекарственной резистентности у возбудителей инфекционных заболеваний.</w:t>
      </w:r>
    </w:p>
    <w:p>
      <w:pPr>
        <w:spacing w:line="240" w:lineRule="auto"/>
        <w:rPr>
          <w:rFonts w:hAnsi="Times New Roman" w:cs="Times New Roman"/>
          <w:color w:val="000000"/>
          <w:sz w:val="24"/>
          <w:szCs w:val="24"/>
        </w:rPr>
      </w:pPr>
      <w:r>
        <w:rPr>
          <w:rFonts w:hAnsi="Times New Roman" w:cs="Times New Roman"/>
          <w:color w:val="000000"/>
          <w:sz w:val="24"/>
          <w:szCs w:val="24"/>
        </w:rPr>
        <w:t>Антимикробная резистентность в настоящее время является большой проблемой при лечении инфекционных заболеваний. В связи с этим большое внимание необходимо уделять оптимизации антибактериальной терапии. Особенно при назначении амоксициллина (резистентность определенных штаммов 97,7%, сульфаметоксазол + триметоприм – 88,3%, тетрациклин – 77,1%) (WHO Rational use of medicines Fact sheet № 338 May 2010).</w:t>
      </w:r>
    </w:p>
    <w:p>
      <w:pPr>
        <w:spacing w:line="240" w:lineRule="auto"/>
        <w:rPr>
          <w:rFonts w:hAnsi="Times New Roman" w:cs="Times New Roman"/>
          <w:color w:val="000000"/>
          <w:sz w:val="24"/>
          <w:szCs w:val="24"/>
        </w:rPr>
      </w:pPr>
      <w:r>
        <w:rPr>
          <w:rFonts w:hAnsi="Times New Roman" w:cs="Times New Roman"/>
          <w:color w:val="000000"/>
          <w:sz w:val="24"/>
          <w:szCs w:val="24"/>
        </w:rPr>
        <w:t>8. Передача инфекционных заболеваний через лекарственный препарат (например, в случае применения препаратов крови).</w:t>
      </w:r>
    </w:p>
    <w:p>
      <w:pPr>
        <w:spacing w:line="240" w:lineRule="auto"/>
        <w:rPr>
          <w:rFonts w:hAnsi="Times New Roman" w:cs="Times New Roman"/>
          <w:color w:val="000000"/>
          <w:sz w:val="24"/>
          <w:szCs w:val="24"/>
        </w:rPr>
      </w:pPr>
      <w:r>
        <w:rPr>
          <w:rFonts w:hAnsi="Times New Roman" w:cs="Times New Roman"/>
          <w:color w:val="000000"/>
          <w:sz w:val="24"/>
          <w:szCs w:val="24"/>
        </w:rPr>
        <w:t>Примерами переноса может быть замороженная плазма, факторы свертывания крови и другие. Риск наличия определенного патогена в лекарственных препаратах крови возрастает для пожилых людей, людей с ослабленным иммунитетом. Вирусами, передаваемыми через препараты крови, могут быть: цитомегаловирус, вирус денге, вирус гепатита B, вирус гепатита С, вирус гепатита E, вирус иммунодефицита человека (ВИЧ-1 и ВИЧ-2) и др.</w:t>
      </w:r>
    </w:p>
    <w:p>
      <w:pPr>
        <w:spacing w:line="240" w:lineRule="auto"/>
        <w:rPr>
          <w:rFonts w:hAnsi="Times New Roman" w:cs="Times New Roman"/>
          <w:color w:val="000000"/>
          <w:sz w:val="24"/>
          <w:szCs w:val="24"/>
        </w:rPr>
      </w:pPr>
      <w:r>
        <w:rPr>
          <w:rFonts w:hAnsi="Times New Roman" w:cs="Times New Roman"/>
          <w:color w:val="000000"/>
          <w:sz w:val="24"/>
          <w:szCs w:val="24"/>
        </w:rPr>
        <w:t>9. Ошибки назначения и применения лекарственного препарата специалистами здравоохранения и (или) пациентами вследствие неправильной интерпретации сведений его инструкции по применению.</w:t>
      </w:r>
    </w:p>
    <w:p>
      <w:pPr>
        <w:spacing w:line="240" w:lineRule="auto"/>
        <w:rPr>
          <w:rFonts w:hAnsi="Times New Roman" w:cs="Times New Roman"/>
          <w:color w:val="000000"/>
          <w:sz w:val="24"/>
          <w:szCs w:val="24"/>
        </w:rPr>
      </w:pPr>
      <w:r>
        <w:rPr>
          <w:rFonts w:hAnsi="Times New Roman" w:cs="Times New Roman"/>
          <w:color w:val="000000"/>
          <w:sz w:val="24"/>
          <w:szCs w:val="24"/>
        </w:rPr>
        <w:t>Действительный размер терапевтических ошибок в практике достаточно сложно определить, по данным зарубежных источников она составляет 5,7 процента.</w:t>
      </w:r>
    </w:p>
    <w:p>
      <w:pPr>
        <w:spacing w:line="240" w:lineRule="auto"/>
        <w:rPr>
          <w:rFonts w:hAnsi="Times New Roman" w:cs="Times New Roman"/>
          <w:color w:val="000000"/>
          <w:sz w:val="24"/>
          <w:szCs w:val="24"/>
        </w:rPr>
      </w:pPr>
      <w:r>
        <w:rPr>
          <w:rFonts w:hAnsi="Times New Roman" w:cs="Times New Roman"/>
          <w:color w:val="000000"/>
          <w:sz w:val="24"/>
          <w:szCs w:val="24"/>
        </w:rPr>
        <w:t>10. Случаи злоупотребления лекарственным препаратом, преднамеренной передозировки препарата или использования препарата в целях умышленного причинения вреда жизни и (или) здоровью, развитие лекарственной зависимости.</w:t>
      </w:r>
    </w:p>
    <w:p>
      <w:pPr>
        <w:spacing w:line="240" w:lineRule="auto"/>
        <w:rPr>
          <w:rFonts w:hAnsi="Times New Roman" w:cs="Times New Roman"/>
          <w:color w:val="000000"/>
          <w:sz w:val="24"/>
          <w:szCs w:val="24"/>
        </w:rPr>
      </w:pPr>
      <w:r>
        <w:rPr>
          <w:rFonts w:hAnsi="Times New Roman" w:cs="Times New Roman"/>
          <w:color w:val="000000"/>
          <w:sz w:val="24"/>
          <w:szCs w:val="24"/>
        </w:rPr>
        <w:t>Чаще всего в эту категорию попадают наркотические средства и психотропные вещества.</w:t>
      </w:r>
    </w:p>
    <w:p>
      <w:pPr>
        <w:spacing w:line="240" w:lineRule="auto"/>
        <w:rPr>
          <w:rFonts w:hAnsi="Times New Roman" w:cs="Times New Roman"/>
          <w:color w:val="000000"/>
          <w:sz w:val="24"/>
          <w:szCs w:val="24"/>
        </w:rPr>
      </w:pPr>
      <w:r>
        <w:rPr>
          <w:rFonts w:hAnsi="Times New Roman" w:cs="Times New Roman"/>
          <w:color w:val="000000"/>
          <w:sz w:val="24"/>
          <w:szCs w:val="24"/>
        </w:rPr>
        <w:t>11. Подозрение, что нежелательная реакция (неэффективность) препарата вызваны проблемами качества или применением фальсифицированного препарата.</w:t>
      </w:r>
    </w:p>
    <w:p>
      <w:pPr>
        <w:spacing w:line="240" w:lineRule="auto"/>
        <w:rPr>
          <w:rFonts w:hAnsi="Times New Roman" w:cs="Times New Roman"/>
          <w:color w:val="000000"/>
          <w:sz w:val="24"/>
          <w:szCs w:val="24"/>
        </w:rPr>
      </w:pPr>
      <w:r>
        <w:rPr>
          <w:rFonts w:hAnsi="Times New Roman" w:cs="Times New Roman"/>
          <w:color w:val="000000"/>
          <w:sz w:val="24"/>
          <w:szCs w:val="24"/>
        </w:rPr>
        <w:t>Данная ситуация может возникнуть в том случае, если лекарственный препарат был фальсифицирован или его качество пострадало при хранении (например, температурный режим).</w:t>
      </w:r>
    </w:p>
    <w:p>
      <w:pPr>
        <w:spacing w:line="240" w:lineRule="auto"/>
        <w:rPr>
          <w:rFonts w:hAnsi="Times New Roman" w:cs="Times New Roman"/>
          <w:color w:val="000000"/>
          <w:sz w:val="24"/>
          <w:szCs w:val="24"/>
        </w:rPr>
      </w:pPr>
      <w:r>
        <w:rPr>
          <w:rFonts w:hAnsi="Times New Roman" w:cs="Times New Roman"/>
          <w:color w:val="000000"/>
          <w:sz w:val="24"/>
          <w:szCs w:val="24"/>
        </w:rPr>
        <w:t>12. Ранее неизвестные случаи опасных лекарственных взаимодействий.</w:t>
      </w:r>
    </w:p>
    <w:p>
      <w:pPr>
        <w:spacing w:line="240" w:lineRule="auto"/>
        <w:jc w:val="right"/>
        <w:rPr>
          <w:rFonts w:hAnsi="Times New Roman" w:cs="Times New Roman"/>
          <w:color w:val="000000"/>
          <w:sz w:val="24"/>
          <w:szCs w:val="24"/>
        </w:rPr>
      </w:pPr>
      <w:r>
        <w:rPr>
          <w:rFonts w:hAnsi="Times New Roman" w:cs="Times New Roman"/>
          <w:b/>
          <w:bCs/>
          <w:color w:val="000000"/>
          <w:sz w:val="24"/>
          <w:szCs w:val="24"/>
        </w:rPr>
        <w:t>Приложение 2</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Инструкция по заполнению карты-извещения и ее форма</w:t>
      </w:r>
    </w:p>
    <w:p>
      <w:pPr>
        <w:spacing w:line="240" w:lineRule="auto"/>
        <w:rPr>
          <w:rFonts w:hAnsi="Times New Roman" w:cs="Times New Roman"/>
          <w:color w:val="000000"/>
          <w:sz w:val="24"/>
          <w:szCs w:val="24"/>
        </w:rPr>
      </w:pPr>
      <w:r>
        <w:rPr>
          <w:rFonts w:hAnsi="Times New Roman" w:cs="Times New Roman"/>
          <w:color w:val="000000"/>
          <w:sz w:val="24"/>
          <w:szCs w:val="24"/>
        </w:rPr>
        <w:t>1. Для описания нежелательной реакции необходимо детально указать следующую информацию о пациенте и лекарственном препарате.</w:t>
      </w:r>
    </w:p>
    <w:p>
      <w:pPr>
        <w:spacing w:line="240" w:lineRule="auto"/>
        <w:rPr>
          <w:rFonts w:hAnsi="Times New Roman" w:cs="Times New Roman"/>
          <w:color w:val="000000"/>
          <w:sz w:val="24"/>
          <w:szCs w:val="24"/>
        </w:rPr>
      </w:pPr>
      <w:r>
        <w:rPr>
          <w:rFonts w:hAnsi="Times New Roman" w:cs="Times New Roman"/>
          <w:b/>
          <w:bCs/>
          <w:color w:val="000000"/>
          <w:sz w:val="24"/>
          <w:szCs w:val="24"/>
        </w:rPr>
        <w:t>1.1. О пациенте: </w:t>
      </w:r>
      <w:r>
        <w:rPr>
          <w:rFonts w:hAnsi="Times New Roman" w:cs="Times New Roman"/>
          <w:color w:val="000000"/>
          <w:sz w:val="24"/>
          <w:szCs w:val="24"/>
        </w:rPr>
        <w:t>Информация о пациенте, позволяющая его идентифицировать, адрес, пол, дата рождения, возраст, вес и рост, данные из истории болезни (без указания персональных данных), сопутствующие заболевания.</w:t>
      </w:r>
    </w:p>
    <w:p>
      <w:pPr>
        <w:spacing w:line="240" w:lineRule="auto"/>
        <w:rPr>
          <w:rFonts w:hAnsi="Times New Roman" w:cs="Times New Roman"/>
          <w:color w:val="000000"/>
          <w:sz w:val="24"/>
          <w:szCs w:val="24"/>
        </w:rPr>
      </w:pPr>
      <w:r>
        <w:rPr>
          <w:rFonts w:hAnsi="Times New Roman" w:cs="Times New Roman"/>
          <w:b/>
          <w:bCs/>
          <w:color w:val="000000"/>
          <w:sz w:val="24"/>
          <w:szCs w:val="24"/>
        </w:rPr>
        <w:t>1.2. О лекарственном средстве</w:t>
      </w:r>
      <w:r>
        <w:rPr>
          <w:rFonts w:hAnsi="Times New Roman" w:cs="Times New Roman"/>
          <w:color w:val="000000"/>
          <w:sz w:val="24"/>
          <w:szCs w:val="24"/>
        </w:rPr>
        <w:t>: Международное непатентованное наименование, торговое наименование, форма выпуска, дозировка, способ введения, способ применения, дата начала лечения, дата окончания лечения, продолжительность, параллельно назначаемые лекарства.</w:t>
      </w:r>
    </w:p>
    <w:p>
      <w:pPr>
        <w:spacing w:line="240" w:lineRule="auto"/>
        <w:rPr>
          <w:rFonts w:hAnsi="Times New Roman" w:cs="Times New Roman"/>
          <w:color w:val="000000"/>
          <w:sz w:val="24"/>
          <w:szCs w:val="24"/>
        </w:rPr>
      </w:pPr>
      <w:r>
        <w:rPr>
          <w:rFonts w:hAnsi="Times New Roman" w:cs="Times New Roman"/>
          <w:b/>
          <w:bCs/>
          <w:color w:val="000000"/>
          <w:sz w:val="24"/>
          <w:szCs w:val="24"/>
        </w:rPr>
        <w:t>1.3. Информация о нежелательной реакции: </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полное описание реакции;</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описание признаков и симптомов;</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конкретный диагноз для реакции;</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дата и время реакции;</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причинно-следственная связь.</w:t>
      </w:r>
    </w:p>
    <w:p>
      <w:pPr>
        <w:spacing w:line="240" w:lineRule="auto"/>
        <w:rPr>
          <w:rFonts w:hAnsi="Times New Roman" w:cs="Times New Roman"/>
          <w:color w:val="000000"/>
          <w:sz w:val="24"/>
          <w:szCs w:val="24"/>
        </w:rPr>
      </w:pPr>
      <w:r>
        <w:rPr>
          <w:rFonts w:hAnsi="Times New Roman" w:cs="Times New Roman"/>
          <w:b/>
          <w:bCs/>
          <w:color w:val="000000"/>
          <w:sz w:val="24"/>
          <w:szCs w:val="24"/>
        </w:rPr>
        <w:t>1.4. Данные об источнике сообщения о нежелательной реакции </w:t>
      </w:r>
      <w:r>
        <w:rPr>
          <w:rFonts w:hAnsi="Times New Roman" w:cs="Times New Roman"/>
          <w:color w:val="000000"/>
          <w:sz w:val="24"/>
          <w:szCs w:val="24"/>
        </w:rPr>
        <w:t>(врач, непосредственно наблюдавший пациента или узнавший о данных по безопасности от коллег/пациентов):</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имя (полное имя или инициалы);</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адрес;</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номер телефона и/или другие контактные данные;</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профессия.</w:t>
      </w:r>
    </w:p>
    <w:p>
      <w:pPr>
        <w:spacing w:line="240" w:lineRule="auto"/>
        <w:rPr>
          <w:rFonts w:hAnsi="Times New Roman" w:cs="Times New Roman"/>
          <w:color w:val="000000"/>
          <w:sz w:val="24"/>
          <w:szCs w:val="24"/>
        </w:rPr>
      </w:pPr>
      <w:r>
        <w:rPr>
          <w:rFonts w:hAnsi="Times New Roman" w:cs="Times New Roman"/>
          <w:color w:val="000000"/>
          <w:sz w:val="24"/>
          <w:szCs w:val="24"/>
        </w:rPr>
        <w:t>2. Для установления причинно-следственной связи между применением лекарственного препарата и нежелательной реакцией у пациента записывают:</w:t>
      </w:r>
    </w:p>
    <w:p>
      <w:pPr>
        <w:spacing w:line="240" w:lineRule="auto"/>
        <w:rPr>
          <w:rFonts w:hAnsi="Times New Roman" w:cs="Times New Roman"/>
          <w:color w:val="000000"/>
          <w:sz w:val="24"/>
          <w:szCs w:val="24"/>
        </w:rPr>
      </w:pPr>
      <w:r>
        <w:rPr>
          <w:rFonts w:hAnsi="Times New Roman" w:cs="Times New Roman"/>
          <w:color w:val="000000"/>
          <w:sz w:val="24"/>
          <w:szCs w:val="24"/>
        </w:rPr>
        <w:t>2.1. Клинические симптомы заболевания, период их развития, динамику возникновения и степень тяжести.</w:t>
      </w:r>
    </w:p>
    <w:p>
      <w:pPr>
        <w:spacing w:line="240" w:lineRule="auto"/>
        <w:rPr>
          <w:rFonts w:hAnsi="Times New Roman" w:cs="Times New Roman"/>
          <w:color w:val="000000"/>
          <w:sz w:val="24"/>
          <w:szCs w:val="24"/>
        </w:rPr>
      </w:pPr>
      <w:r>
        <w:rPr>
          <w:rFonts w:hAnsi="Times New Roman" w:cs="Times New Roman"/>
          <w:color w:val="000000"/>
          <w:sz w:val="24"/>
          <w:szCs w:val="24"/>
        </w:rPr>
        <w:t>2.2. Все лекарственные препараты и биологически активные добавки, принимаемые пациентом на момент развития нежелательной реакции, с дозами, датой и временем применения.</w:t>
      </w:r>
    </w:p>
    <w:p>
      <w:pPr>
        <w:spacing w:line="240" w:lineRule="auto"/>
        <w:rPr>
          <w:rFonts w:hAnsi="Times New Roman" w:cs="Times New Roman"/>
          <w:color w:val="000000"/>
          <w:sz w:val="24"/>
          <w:szCs w:val="24"/>
        </w:rPr>
      </w:pPr>
      <w:r>
        <w:rPr>
          <w:rFonts w:hAnsi="Times New Roman" w:cs="Times New Roman"/>
          <w:color w:val="000000"/>
          <w:sz w:val="24"/>
          <w:szCs w:val="24"/>
        </w:rPr>
        <w:t>2.3. Сведения из инструкции по применению лекарственного препарата об уже существующих нежелательных реакциях, особых мерах назначения и лекарственных взаимодействиях.</w:t>
      </w:r>
    </w:p>
    <w:p>
      <w:pPr>
        <w:spacing w:line="240" w:lineRule="auto"/>
        <w:rPr>
          <w:rFonts w:hAnsi="Times New Roman" w:cs="Times New Roman"/>
          <w:color w:val="000000"/>
          <w:sz w:val="24"/>
          <w:szCs w:val="24"/>
        </w:rPr>
      </w:pPr>
      <w:r>
        <w:rPr>
          <w:rFonts w:hAnsi="Times New Roman" w:cs="Times New Roman"/>
          <w:color w:val="000000"/>
          <w:sz w:val="24"/>
          <w:szCs w:val="24"/>
        </w:rPr>
        <w:t>2.4. Сведения из течения заболевания пациента, которые могли бы спровоцировать нежелательный эффект.</w:t>
      </w:r>
    </w:p>
    <w:p>
      <w:pPr>
        <w:spacing w:line="240" w:lineRule="auto"/>
        <w:rPr>
          <w:rFonts w:hAnsi="Times New Roman" w:cs="Times New Roman"/>
          <w:color w:val="000000"/>
          <w:sz w:val="24"/>
          <w:szCs w:val="24"/>
        </w:rPr>
      </w:pPr>
      <w:r>
        <w:rPr>
          <w:rFonts w:hAnsi="Times New Roman" w:cs="Times New Roman"/>
          <w:color w:val="000000"/>
          <w:sz w:val="24"/>
          <w:szCs w:val="24"/>
        </w:rPr>
        <w:t>2.5. Сведения, которые могут быть причиной или факторами, способствующими развитию нежелательных реакций.</w:t>
      </w:r>
    </w:p>
    <w:p>
      <w:pPr>
        <w:spacing w:line="240" w:lineRule="auto"/>
        <w:rPr>
          <w:rFonts w:hAnsi="Times New Roman" w:cs="Times New Roman"/>
          <w:color w:val="000000"/>
          <w:sz w:val="24"/>
          <w:szCs w:val="24"/>
        </w:rPr>
      </w:pPr>
      <w:r>
        <w:rPr>
          <w:rFonts w:hAnsi="Times New Roman" w:cs="Times New Roman"/>
          <w:color w:val="000000"/>
          <w:sz w:val="24"/>
          <w:szCs w:val="24"/>
        </w:rPr>
        <w:t>3. В случае если причинно-следственную связь нельзя исключить, она считается связанной с лекарственными препаратами. Методические рекомендации «Определение степени достоверности причинно-следственной связи "Неблагоприятная реакция, побочная реакция лекарственного средства"» от 02.10.2008.</w:t>
      </w:r>
    </w:p>
    <w:p>
      <w:pPr>
        <w:spacing w:line="240" w:lineRule="auto"/>
        <w:jc w:val="right"/>
        <w:rPr>
          <w:rFonts w:hAnsi="Times New Roman" w:cs="Times New Roman"/>
          <w:color w:val="000000"/>
          <w:sz w:val="24"/>
          <w:szCs w:val="24"/>
        </w:rPr>
      </w:pPr>
      <w:r>
        <w:rPr>
          <w:rFonts w:hAnsi="Times New Roman" w:cs="Times New Roman"/>
          <w:b/>
          <w:bCs/>
          <w:color w:val="000000"/>
          <w:sz w:val="24"/>
          <w:szCs w:val="24"/>
        </w:rPr>
        <w:t>Приложение 3</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ЖУРНАЛ</w:t>
      </w:r>
      <w:r>
        <w:br/>
      </w:r>
      <w:r>
        <w:rPr>
          <w:rFonts w:hAnsi="Times New Roman" w:cs="Times New Roman"/>
          <w:b/>
          <w:bCs/>
          <w:color w:val="000000"/>
          <w:sz w:val="24"/>
          <w:szCs w:val="24"/>
        </w:rPr>
        <w:t>УЧЕТА ВЫЯВЛЕННЫХ НЕБЛАГОПРИЯТНЫХ ПОБОЧНЫХ РЕАКЦИЙ (НПР)</w:t>
      </w:r>
      <w:r>
        <w:br/>
      </w:r>
      <w:r>
        <w:rPr>
          <w:rFonts w:hAnsi="Times New Roman" w:cs="Times New Roman"/>
          <w:b/>
          <w:bCs/>
          <w:color w:val="000000"/>
          <w:sz w:val="24"/>
          <w:szCs w:val="24"/>
        </w:rPr>
        <w:t>ПРИ ПРИМЕНЕНИИ ЛЕКАРСТВЕННЫХ СРЕДСТВ И МЕДИЦИНСКИХ ИЗДЕЛИЙ</w:t>
      </w:r>
    </w:p>
    <w:tbl>
      <w:tblPr>
        <w:tblW w:w="5000" w:type="pct"/>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tblGrid>
      <w:tr>
        <w:trPr>
          <w:trHeight w:val="11"/>
        </w:trPr>
        <w:tc>
          <w:tcPr>
            <w:tcW w:w="27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 </w:t>
            </w:r>
          </w:p>
        </w:tc>
        <w:tc>
          <w:tcPr>
            <w:tcW w:w="81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Ф. И. О. пациента</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История болезни №</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Страховой</w:t>
            </w:r>
            <w:r>
              <w:br/>
            </w:r>
            <w:r>
              <w:rPr>
                <w:rFonts w:hAnsi="Times New Roman" w:cs="Times New Roman"/>
                <w:b/>
                <w:bCs/>
                <w:color w:val="000000"/>
                <w:sz w:val="24"/>
                <w:szCs w:val="24"/>
              </w:rPr>
              <w:t xml:space="preserve">полис № </w:t>
            </w:r>
          </w:p>
        </w:tc>
        <w:tc>
          <w:tcPr>
            <w:tcW w:w="81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Торговоеназвание ЛС, МИ </w:t>
            </w:r>
          </w:p>
        </w:tc>
        <w:tc>
          <w:tcPr>
            <w:tcW w:w="36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НПР</w:t>
            </w:r>
          </w:p>
        </w:tc>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Исход</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Дата возникновения НПР</w:t>
            </w:r>
          </w:p>
        </w:tc>
        <w:tc>
          <w:tcPr>
            <w:tcW w:w="81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Дата информирования Регионального центра</w:t>
            </w:r>
          </w:p>
        </w:tc>
        <w:tc>
          <w:tcPr>
            <w:tcW w:w="99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Ф. И. О. сообщившего о НПР</w:t>
            </w:r>
          </w:p>
        </w:tc>
      </w:tr>
      <w:tr>
        <w:trPr>
          <w:trHeight w:val="0"/>
        </w:trPr>
        <w:tc>
          <w:tcPr>
            <w:tcW w:w="27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1.</w:t>
            </w:r>
          </w:p>
        </w:tc>
        <w:tc>
          <w:tcPr>
            <w:tcW w:w="81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90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81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36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54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72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81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99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right"/>
        <w:rPr>
          <w:rFonts w:hAnsi="Times New Roman" w:cs="Times New Roman"/>
          <w:color w:val="000000"/>
          <w:sz w:val="24"/>
          <w:szCs w:val="24"/>
        </w:rPr>
      </w:pPr>
      <w:r>
        <w:rPr>
          <w:rFonts w:hAnsi="Times New Roman" w:cs="Times New Roman"/>
          <w:b/>
          <w:bCs/>
          <w:color w:val="000000"/>
          <w:sz w:val="24"/>
          <w:szCs w:val="24"/>
        </w:rPr>
        <w:t>Приложение 4</w:t>
      </w:r>
    </w:p>
    <w:p>
      <w:pPr>
        <w:spacing w:line="240" w:lineRule="auto"/>
        <w:rPr>
          <w:rFonts w:hAnsi="Times New Roman" w:cs="Times New Roman"/>
          <w:color w:val="000000"/>
          <w:sz w:val="24"/>
          <w:szCs w:val="24"/>
        </w:rPr>
      </w:pPr>
      <w:r>
        <w:rPr>
          <w:rFonts w:hAnsi="Times New Roman" w:cs="Times New Roman"/>
          <w:color w:val="000000"/>
          <w:sz w:val="24"/>
          <w:szCs w:val="24"/>
        </w:rPr>
        <w:t>Порядок получения доступа в базу данных «Фармаконадзор» и работа в ней клинического фармаколога</w:t>
      </w:r>
    </w:p>
    <w:p>
      <w:pPr>
        <w:spacing w:line="240" w:lineRule="auto"/>
        <w:rPr>
          <w:rFonts w:hAnsi="Times New Roman" w:cs="Times New Roman"/>
          <w:color w:val="000000"/>
          <w:sz w:val="24"/>
          <w:szCs w:val="24"/>
        </w:rPr>
      </w:pPr>
      <w:r>
        <w:rPr>
          <w:rFonts w:hAnsi="Times New Roman" w:cs="Times New Roman"/>
          <w:color w:val="000000"/>
          <w:sz w:val="24"/>
          <w:szCs w:val="24"/>
        </w:rPr>
        <w:t>Для предоставленияданных по безопасности лекарственных средств в Росздравнадзор необходимо заполнить «Карту-извещение о побочном действии, нежелательной реакции или отсутствии терапевтического эффекта лекарственного средства». Для этого необходимо на сайте зарегистрироваться в автоматизированной системе «Фармаконадзор».</w:t>
      </w:r>
    </w:p>
    <w:p>
      <w:r>
        <w:rPr>
          <w:noProof/>
        </w:rPr>
        <w:drawing>
          <wp:inline xmlns:wp="http://schemas.openxmlformats.org/drawingml/2006/wordprocessingDrawing" distT="0" distB="0" distL="0" distR="0">
            <wp:extent cx="5732144" cy="2078954"/>
            <wp:effectExtent l="0" t="0" r="0" b="0"/>
            <wp:docPr id="2" name="Picture 2" descr="/api/doc/v1/image/-28580790?moduleId=118&amp;id=7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pi/doc/v1/image/-28580790?moduleId=118&amp;id=70041"/>
                    <pic:cNvPicPr>
                      <a:picLocks noChangeAspect="1" noChangeArrowheads="1"/>
                    </pic:cNvPicPr>
                  </pic:nvPicPr>
                  <pic:blipFill>
                    <a:blip r:embed="R3c805f42dd3e4ed89ec7c6bc4012d8a4">
                      <a:extLst>
                        <a:ext uri="{28A0092B-C50C-407E-A947-70E740481C1C}">
                          <a14:useLocalDpi xmlns:a14="http://schemas.microsoft.com/office/drawing/2010/main" val="0"/>
                        </a:ext>
                      </a:extLst>
                    </a:blip>
                    <a:stretch>
                      <a:fillRect/>
                    </a:stretch>
                  </pic:blipFill>
                  <pic:spPr bwMode="auto">
                    <a:xfrm>
                      <a:off x="0" y="0"/>
                      <a:ext cx="5732144" cy="2078954"/>
                    </a:xfrm>
                    <a:prstGeom prst="rect">
                      <a:avLst/>
                    </a:prstGeom>
                    <a:noFill/>
                    <a:ln>
                      <a:noFill/>
                    </a:ln>
                  </pic:spPr>
                </pic:pic>
              </a:graphicData>
            </a:graphic>
          </wp:inline>
        </w:drawing>
      </w:r>
    </w:p>
    <w:p>
      <w:pPr>
        <w:spacing w:line="240" w:lineRule="auto"/>
        <w:rPr>
          <w:rFonts w:hAnsi="Times New Roman" w:cs="Times New Roman"/>
          <w:color w:val="000000"/>
          <w:sz w:val="24"/>
          <w:szCs w:val="24"/>
        </w:rPr>
      </w:pPr>
      <w:r>
        <w:rPr>
          <w:rFonts w:hAnsi="Times New Roman" w:cs="Times New Roman"/>
          <w:color w:val="000000"/>
          <w:sz w:val="24"/>
          <w:szCs w:val="24"/>
        </w:rPr>
        <w:t>Для регистрации необходимо отправить сведения по форме.</w:t>
      </w:r>
    </w:p>
    <w:p>
      <w:pPr>
        <w:spacing w:line="240" w:lineRule="auto"/>
        <w:rPr>
          <w:rFonts w:hAnsi="Times New Roman" w:cs="Times New Roman"/>
          <w:color w:val="000000"/>
          <w:sz w:val="24"/>
          <w:szCs w:val="24"/>
        </w:rPr>
      </w:pPr>
      <w:r>
        <w:rPr>
          <w:rFonts w:hAnsi="Times New Roman" w:cs="Times New Roman"/>
          <w:color w:val="000000"/>
          <w:sz w:val="24"/>
          <w:szCs w:val="24"/>
        </w:rPr>
        <w:t>Порядок получения доступа в базу данных «Фармаконадзор» автоматизированной информационной системы (АИС) Росздравнадзора описан в информационном письме Росздравнадзора от 02.12.2008 № 752/08.</w:t>
      </w:r>
    </w:p>
    <w:p>
      <w:pPr>
        <w:spacing w:line="240" w:lineRule="auto"/>
        <w:rPr>
          <w:rFonts w:hAnsi="Times New Roman" w:cs="Times New Roman"/>
          <w:color w:val="000000"/>
          <w:sz w:val="24"/>
          <w:szCs w:val="24"/>
        </w:rPr>
      </w:pPr>
      <w:r>
        <w:rPr>
          <w:rFonts w:hAnsi="Times New Roman" w:cs="Times New Roman"/>
          <w:color w:val="000000"/>
          <w:sz w:val="24"/>
          <w:szCs w:val="24"/>
        </w:rPr>
        <w:t>Необходимо провести авторизацию в системе, введя логин и пароль.</w:t>
      </w:r>
    </w:p>
    <w:p>
      <w:r>
        <w:rPr>
          <w:noProof/>
        </w:rPr>
        <w:drawing>
          <wp:inline xmlns:wp="http://schemas.openxmlformats.org/drawingml/2006/wordprocessingDrawing" distT="0" distB="0" distL="0" distR="0">
            <wp:extent cx="5732144" cy="3291360"/>
            <wp:effectExtent l="0" t="0" r="0" b="0"/>
            <wp:docPr id="3" name="Picture 3" descr="/api/doc/v1/image/-28580791?moduleId=118&amp;id=7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i/doc/v1/image/-28580791?moduleId=118&amp;id=70041"/>
                    <pic:cNvPicPr>
                      <a:picLocks noChangeAspect="1" noChangeArrowheads="1"/>
                    </pic:cNvPicPr>
                  </pic:nvPicPr>
                  <pic:blipFill>
                    <a:blip r:embed="R0af989baefcd43708d18a3d04213517e">
                      <a:extLst>
                        <a:ext uri="{28A0092B-C50C-407E-A947-70E740481C1C}">
                          <a14:useLocalDpi xmlns:a14="http://schemas.microsoft.com/office/drawing/2010/main" val="0"/>
                        </a:ext>
                      </a:extLst>
                    </a:blip>
                    <a:stretch>
                      <a:fillRect/>
                    </a:stretch>
                  </pic:blipFill>
                  <pic:spPr bwMode="auto">
                    <a:xfrm>
                      <a:off x="0" y="0"/>
                      <a:ext cx="5732144" cy="3291360"/>
                    </a:xfrm>
                    <a:prstGeom prst="rect">
                      <a:avLst/>
                    </a:prstGeom>
                    <a:noFill/>
                    <a:ln>
                      <a:noFill/>
                    </a:ln>
                  </pic:spPr>
                </pic:pic>
              </a:graphicData>
            </a:graphic>
          </wp:inline>
        </w:drawing>
      </w:r>
    </w:p>
    <w:p>
      <w:pPr>
        <w:spacing w:line="240" w:lineRule="auto"/>
        <w:jc w:val="right"/>
        <w:rPr>
          <w:rFonts w:hAnsi="Times New Roman" w:cs="Times New Roman"/>
          <w:color w:val="000000"/>
          <w:sz w:val="24"/>
          <w:szCs w:val="24"/>
        </w:rPr>
      </w:pPr>
      <w:r>
        <w:rPr>
          <w:rFonts w:hAnsi="Times New Roman" w:cs="Times New Roman"/>
          <w:b/>
          <w:bCs/>
          <w:color w:val="000000"/>
          <w:sz w:val="24"/>
          <w:szCs w:val="24"/>
        </w:rPr>
        <w:t>Приложение 5</w:t>
      </w:r>
    </w:p>
    <w:tbl>
      <w:tblPr>
        <w:tblW w:w="5000" w:type="pct"/>
        <w:tblCellMar>
          <w:top w:w="15" w:type="dxa"/>
          <w:left w:w="15" w:type="dxa"/>
          <w:bottom w:w="15" w:type="dxa"/>
          <w:right w:w="15" w:type="dxa"/>
        </w:tblCellMar>
        <w:tblLook w:val="0600"/>
      </w:tblPr>
      <w:tblGrid>
        <w:gridCol w:w="1440"/>
        <w:gridCol w:w="1440"/>
      </w:tblGrid>
      <w:tr>
        <w:trPr>
          <w:trHeight w:val="0"/>
        </w:trPr>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p>
        </w:tc>
        <w:tc>
          <w:tcPr>
            <w:tcW w:w="586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ЕЖЕКВАРТАЛЬНЫЙ ОТЧЕТ</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 МОНИТОРИНГУ БЕЗОПАСНОСТИ ЛЕКАРСТВЕННЫХ СРЕДСТВ И МЕДИЦИНСКИХ ИЗДЕЛИЙ ДЛЯ МЕДИЦИНСКИХ ОРГАНИЗАЦИЙ, ПОДВЕДОМСТВЕННЫХ МИНИСТЕРСТВУ ЗДРАВООХРАНЕНИЯ СВЕРДЛОВСКОЙ ОБЛАСТИ</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 xml:space="preserve">1. За отчетный период (год) </w:t>
      </w:r>
      <w:r>
        <w:rPr>
          <w:rFonts w:hAnsi="Times New Roman" w:cs="Times New Roman"/>
          <w:b/>
          <w:bCs/>
          <w:color w:val="000000"/>
          <w:sz w:val="24"/>
          <w:szCs w:val="24"/>
        </w:rPr>
        <w:t xml:space="preserve">I </w:t>
      </w:r>
      <w:r>
        <w:rPr>
          <w:rFonts w:hAnsi="Times New Roman" w:cs="Times New Roman"/>
          <w:b/>
          <w:bCs/>
          <w:color w:val="000000"/>
          <w:sz w:val="24"/>
          <w:szCs w:val="24"/>
        </w:rPr>
        <w:t>квартал 20___ года было зарегистрировано НПР:</w:t>
      </w:r>
    </w:p>
    <w:tbl>
      <w:tblPr>
        <w:tblW w:w="5000" w:type="pct"/>
        <w:tblCellMar>
          <w:top w:w="15" w:type="dxa"/>
          <w:left w:w="15" w:type="dxa"/>
          <w:bottom w:w="15" w:type="dxa"/>
          <w:right w:w="15" w:type="dxa"/>
        </w:tblCellMar>
        <w:tblLook w:val="0600"/>
      </w:tblPr>
      <w:tblGrid>
        <w:gridCol w:w="1440"/>
        <w:gridCol w:w="1440"/>
        <w:gridCol w:w="1440"/>
      </w:tblGrid>
      <w:tr>
        <w:trPr>
          <w:trHeight w:val="10"/>
        </w:trPr>
        <w:tc>
          <w:tcPr>
            <w:tcW w:w="406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Сообщения</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Всего зарегистрировано за отчетный период </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Направлено заполненных карт-извещений в Региональный центр </w:t>
            </w:r>
          </w:p>
        </w:tc>
      </w:tr>
      <w:tr>
        <w:trPr>
          <w:trHeight w:val="6"/>
        </w:trPr>
        <w:tc>
          <w:tcPr>
            <w:tcW w:w="406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Сообщений о неблагоприятных побочных реакциях (НПР) на лекарственные средства (ЛС)</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6</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6</w:t>
            </w:r>
          </w:p>
        </w:tc>
      </w:tr>
      <w:tr>
        <w:trPr>
          <w:trHeight w:val="6"/>
        </w:trPr>
        <w:tc>
          <w:tcPr>
            <w:tcW w:w="406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Сообщений о неблагоприятных побочных реакциях (НПР) на медицинские изделия (МИ)</w:t>
            </w:r>
          </w:p>
        </w:tc>
        <w:tc>
          <w:tcPr>
            <w:tcW w:w="171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r>
    </w:tbl>
    <w:p>
      <w:pPr>
        <w:spacing w:line="240" w:lineRule="auto"/>
        <w:rPr>
          <w:rFonts w:hAnsi="Times New Roman" w:cs="Times New Roman"/>
          <w:color w:val="000000"/>
          <w:sz w:val="24"/>
          <w:szCs w:val="24"/>
        </w:rPr>
      </w:pPr>
      <w:r>
        <w:rPr>
          <w:rFonts w:hAnsi="Times New Roman" w:cs="Times New Roman"/>
          <w:color w:val="000000"/>
          <w:sz w:val="24"/>
          <w:szCs w:val="24"/>
        </w:rPr>
        <w:t>2. Если не все сообщения о выявленных НПР были направлены в Региональный центр, укажите причину 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3. Выявлено серьезных реакций на ЛС, МИ ___, в том числе:</w:t>
      </w:r>
    </w:p>
    <w:p>
      <w:pPr>
        <w:spacing w:line="240" w:lineRule="auto"/>
        <w:rPr>
          <w:rFonts w:hAnsi="Times New Roman" w:cs="Times New Roman"/>
          <w:color w:val="000000"/>
          <w:sz w:val="24"/>
          <w:szCs w:val="24"/>
        </w:rPr>
      </w:pPr>
      <w:r>
        <w:rPr>
          <w:rFonts w:hAnsi="Times New Roman" w:cs="Times New Roman"/>
          <w:color w:val="000000"/>
          <w:sz w:val="24"/>
          <w:szCs w:val="24"/>
        </w:rPr>
        <w:t>3.1. Приведших к летальному исходу – ____________, указать данные о препаратах (торговое название, производитель, доза, вызвавшая эффект, путь введения), о пациентах (пол, возраст, основное заболевание), описание НПР.</w:t>
      </w:r>
    </w:p>
    <w:p>
      <w:pPr>
        <w:spacing w:line="240" w:lineRule="auto"/>
        <w:rPr>
          <w:rFonts w:hAnsi="Times New Roman" w:cs="Times New Roman"/>
          <w:color w:val="000000"/>
          <w:sz w:val="24"/>
          <w:szCs w:val="24"/>
        </w:rPr>
      </w:pPr>
      <w:r>
        <w:rPr>
          <w:rFonts w:hAnsi="Times New Roman" w:cs="Times New Roman"/>
          <w:color w:val="000000"/>
          <w:sz w:val="24"/>
          <w:szCs w:val="24"/>
        </w:rPr>
        <w:t>3.2. Приведших к другим серьезным НПР:</w:t>
      </w:r>
    </w:p>
    <w:tbl>
      <w:tblPr>
        <w:tblW w:w="5000" w:type="pct"/>
        <w:tblCellMar>
          <w:top w:w="15" w:type="dxa"/>
          <w:left w:w="15" w:type="dxa"/>
          <w:bottom w:w="15" w:type="dxa"/>
          <w:right w:w="15" w:type="dxa"/>
        </w:tblCellMar>
        <w:tblLook w:val="0600"/>
      </w:tblPr>
      <w:tblGrid>
        <w:gridCol w:w="1440"/>
        <w:gridCol w:w="1440"/>
        <w:gridCol w:w="1440"/>
        <w:gridCol w:w="1440"/>
      </w:tblGrid>
      <w:tr>
        <w:trPr>
          <w:trHeight w:val="6"/>
        </w:trPr>
        <w:tc>
          <w:tcPr>
            <w:tcW w:w="333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70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Торговое</w:t>
            </w:r>
            <w:r>
              <w:br/>
            </w:r>
            <w:r>
              <w:rPr>
                <w:rFonts w:hAnsi="Times New Roman" w:cs="Times New Roman"/>
                <w:b/>
                <w:bCs/>
                <w:color w:val="000000"/>
                <w:sz w:val="24"/>
                <w:szCs w:val="24"/>
              </w:rPr>
              <w:t>название</w:t>
            </w:r>
            <w:r>
              <w:br/>
            </w:r>
            <w:r>
              <w:rPr>
                <w:rFonts w:hAnsi="Times New Roman" w:cs="Times New Roman"/>
                <w:b/>
                <w:bCs/>
                <w:color w:val="000000"/>
                <w:sz w:val="24"/>
                <w:szCs w:val="24"/>
              </w:rPr>
              <w:t> ЛС, МИ</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НПР</w:t>
            </w:r>
          </w:p>
        </w:tc>
        <w:tc>
          <w:tcPr>
            <w:tcW w:w="126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Количество НПР</w:t>
            </w:r>
          </w:p>
        </w:tc>
      </w:tr>
      <w:tr>
        <w:trPr>
          <w:trHeight w:val="4"/>
        </w:trPr>
        <w:tc>
          <w:tcPr>
            <w:tcW w:w="333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Выявлено реакций на ЛС, МИ, создавших угрозу жизни</w:t>
            </w:r>
          </w:p>
        </w:tc>
        <w:tc>
          <w:tcPr>
            <w:tcW w:w="270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26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w:t>
            </w:r>
          </w:p>
        </w:tc>
      </w:tr>
      <w:tr>
        <w:trPr>
          <w:trHeight w:val="4"/>
        </w:trPr>
        <w:tc>
          <w:tcPr>
            <w:tcW w:w="333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Выявлено реакций на ЛС, МИ, ставших причиной госпитализации</w:t>
            </w:r>
          </w:p>
        </w:tc>
        <w:tc>
          <w:tcPr>
            <w:tcW w:w="270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26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w:t>
            </w:r>
          </w:p>
        </w:tc>
      </w:tr>
      <w:tr>
        <w:trPr>
          <w:trHeight w:val="1"/>
        </w:trPr>
        <w:tc>
          <w:tcPr>
            <w:tcW w:w="3339"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Выявлено реакций на ЛС, МИ, приведших к удлинению госпитализации</w:t>
            </w:r>
          </w:p>
        </w:tc>
        <w:tc>
          <w:tcPr>
            <w:tcW w:w="270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263"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w:t>
            </w:r>
          </w:p>
        </w:tc>
      </w:tr>
      <w:tr>
        <w:trPr>
          <w:trHeight w:val="1"/>
        </w:trPr>
        <w:tc>
          <w:tcPr>
            <w:tcW w:w="3339" w:type="dxa"/>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70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263" w:type="dxa"/>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1"/>
        </w:trPr>
        <w:tc>
          <w:tcPr>
            <w:tcW w:w="3339" w:type="dxa"/>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70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263" w:type="dxa"/>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6"/>
        </w:trPr>
        <w:tc>
          <w:tcPr>
            <w:tcW w:w="333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Выявлено реакций на ЛС, МИ, приведших к стойкой или длительной потере трудоспособности или инвалидности</w:t>
            </w:r>
          </w:p>
        </w:tc>
        <w:tc>
          <w:tcPr>
            <w:tcW w:w="270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62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26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0</w:t>
            </w:r>
          </w:p>
        </w:tc>
      </w:tr>
    </w:tbl>
    <w:p>
      <w:pPr>
        <w:spacing w:line="240" w:lineRule="auto"/>
        <w:rPr>
          <w:rFonts w:hAnsi="Times New Roman" w:cs="Times New Roman"/>
          <w:color w:val="000000"/>
          <w:sz w:val="24"/>
          <w:szCs w:val="24"/>
        </w:rPr>
      </w:pPr>
      <w:r>
        <w:rPr>
          <w:rFonts w:hAnsi="Times New Roman" w:cs="Times New Roman"/>
          <w:color w:val="000000"/>
          <w:sz w:val="24"/>
          <w:szCs w:val="24"/>
        </w:rPr>
        <w:t>4. Выявлено ________ случаев негативного влияния ЛС, МИ на плод и новорожденного.</w:t>
      </w:r>
    </w:p>
    <w:tbl>
      <w:tblPr>
        <w:tblW w:w="5000" w:type="pct"/>
        <w:tblCellMar>
          <w:top w:w="15" w:type="dxa"/>
          <w:left w:w="15" w:type="dxa"/>
          <w:bottom w:w="15" w:type="dxa"/>
          <w:right w:w="15" w:type="dxa"/>
        </w:tblCellMar>
        <w:tblLook w:val="0600"/>
      </w:tblPr>
      <w:tblGrid>
        <w:gridCol w:w="1440"/>
        <w:gridCol w:w="1440"/>
        <w:gridCol w:w="1440"/>
      </w:tblGrid>
      <w:tr>
        <w:trPr>
          <w:trHeight w:val="0"/>
        </w:trPr>
        <w:tc>
          <w:tcPr>
            <w:tcW w:w="343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Торговое название ЛС, МИ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Производитель</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НПР</w:t>
            </w:r>
          </w:p>
        </w:tc>
      </w:tr>
      <w:tr>
        <w:trPr>
          <w:trHeight w:val="0"/>
        </w:trPr>
        <w:tc>
          <w:tcPr>
            <w:tcW w:w="343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343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color w:val="000000"/>
          <w:sz w:val="24"/>
          <w:szCs w:val="24"/>
        </w:rPr>
        <w:t>5. Выявлено непредвиденных НПР ___ (не внесенных в инструкцию по применению ЛС, МИ)</w:t>
      </w:r>
    </w:p>
    <w:tbl>
      <w:tblPr>
        <w:tblW w:w="5000" w:type="pct"/>
        <w:tblCellMar>
          <w:top w:w="15" w:type="dxa"/>
          <w:left w:w="15" w:type="dxa"/>
          <w:bottom w:w="15" w:type="dxa"/>
          <w:right w:w="15" w:type="dxa"/>
        </w:tblCellMar>
        <w:tblLook w:val="0600"/>
      </w:tblPr>
      <w:tblGrid>
        <w:gridCol w:w="1440"/>
        <w:gridCol w:w="1440"/>
        <w:gridCol w:w="1440"/>
      </w:tblGrid>
      <w:tr>
        <w:trPr>
          <w:trHeight w:val="0"/>
        </w:trPr>
        <w:tc>
          <w:tcPr>
            <w:tcW w:w="343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Торговое название ЛС, МИ</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Производитель</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НПР</w:t>
            </w:r>
          </w:p>
        </w:tc>
      </w:tr>
      <w:tr>
        <w:trPr>
          <w:trHeight w:val="0"/>
        </w:trPr>
        <w:tc>
          <w:tcPr>
            <w:tcW w:w="343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343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22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80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color w:val="000000"/>
          <w:sz w:val="24"/>
          <w:szCs w:val="24"/>
        </w:rPr>
        <w:t>Ответственный за мониторинг безопасности ЛС и МИ в медицинской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(Ф. И. О., тел.) 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Главный врач (Ф. И. О.) _______________________</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ЛИСТ ОЗНАКОМЛЕНИЯ</w:t>
      </w:r>
    </w:p>
    <w:tbl>
      <w:tblPr>
        <w:tblW w:w="5000" w:type="pct"/>
        <w:tblCellMar>
          <w:top w:w="15" w:type="dxa"/>
          <w:left w:w="15" w:type="dxa"/>
          <w:bottom w:w="15" w:type="dxa"/>
          <w:right w:w="15" w:type="dxa"/>
        </w:tblCellMar>
        <w:tblLook w:val="0600"/>
      </w:tblPr>
      <w:tblGrid>
        <w:gridCol w:w="1440"/>
        <w:gridCol w:w="1440"/>
        <w:gridCol w:w="1440"/>
        <w:gridCol w:w="1440"/>
        <w:gridCol w:w="1440"/>
      </w:tblGrid>
      <w:tr>
        <w:trPr>
          <w:trHeight w:val="5"/>
        </w:trPr>
        <w:tc>
          <w:tcPr>
            <w:tcW w:w="63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п/п</w:t>
            </w:r>
          </w:p>
        </w:tc>
        <w:tc>
          <w:tcPr>
            <w:tcW w:w="99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Дата</w:t>
            </w:r>
          </w:p>
        </w:tc>
        <w:tc>
          <w:tcPr>
            <w:tcW w:w="415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Ф. И. О.</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Подпись</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Дата</w:t>
            </w:r>
          </w:p>
        </w:tc>
      </w:tr>
      <w:tr>
        <w:trPr>
          <w:trHeight w:val="0"/>
        </w:trPr>
        <w:tc>
          <w:tcPr>
            <w:tcW w:w="63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99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415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r>
      <w:tr>
        <w:trPr>
          <w:trHeight w:val="0"/>
        </w:trPr>
        <w:tc>
          <w:tcPr>
            <w:tcW w:w="63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99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415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63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99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415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63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99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415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63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99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415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63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99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415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19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94cbd95d158d45c8" /><Relationship Type="http://schemas.openxmlformats.org/officeDocument/2006/relationships/image" Target="/media/image.jpg" Id="R6fb8cf10780d4e12a2b7677a0ceead05" /><Relationship Type="http://schemas.openxmlformats.org/officeDocument/2006/relationships/image" Target="/media/image2.jpg" Id="R3c805f42dd3e4ed89ec7c6bc4012d8a4" /><Relationship Type="http://schemas.openxmlformats.org/officeDocument/2006/relationships/image" Target="/media/image3.jpg" Id="R0af989baefcd43708d18a3d04213517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