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1811"/>
        <w:gridCol w:w="4533"/>
        <w:gridCol w:w="3166"/>
      </w:tblGrid>
      <w:tr>
        <w:tblPrEx/>
        <w:trPr>
          <w:trHeight w:val="55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8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Г</w:t>
            </w:r>
            <w:r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БУЗ</w:t>
            </w:r>
            <w:r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«</w:t>
            </w:r>
            <w:r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Больница</w:t>
            </w:r>
            <w:r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»</w:t>
            </w: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</w:p>
          <w:p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</w:p>
          <w:p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 </w:t>
            </w: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</w:p>
          <w:p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«</w:t>
            </w:r>
            <w:r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Больница</w:t>
            </w:r>
            <w:r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»</w:t>
            </w: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r>
          </w:p>
          <w:p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</w:p>
          <w:p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815" w:type="dxa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75" w:type="dxa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</w:rPr>
              <w:t xml:space="preserve">Лист 1 из ____</w:t>
            </w: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815" w:type="dxa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75" w:type="dxa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</w:rPr>
              <w:t xml:space="preserve">Редакция 1</w:t>
            </w:r>
            <w:r>
              <w:rPr>
                <w:rFonts w:hAnsi="Times New Roman" w:cs="Times New Roman"/>
                <w:color w:val="000000"/>
                <w:sz w:val="16"/>
                <w:szCs w:val="16"/>
              </w:rPr>
            </w:r>
          </w:p>
        </w:tc>
      </w:tr>
    </w:tbl>
    <w:p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СОП «Плановая госпитализация пациентов»</w:t>
      </w:r>
      <w:r>
        <w:rPr>
          <w:rFonts w:hAnsi="Times New Roman" w:cs="Times New Roman"/>
          <w:color w:val="000000"/>
          <w:sz w:val="24"/>
          <w:szCs w:val="24"/>
        </w:rPr>
      </w:r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2235"/>
        <w:gridCol w:w="2385"/>
        <w:gridCol w:w="795"/>
        <w:gridCol w:w="1605"/>
        <w:gridCol w:w="990"/>
        <w:gridCol w:w="1485"/>
      </w:tblGrid>
      <w:tr>
        <w:tblPrEx/>
        <w:trPr>
          <w:trHeight w:val="5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8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Должность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59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48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Утвердил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8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Главный врач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59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485" w:type="dxa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Разработал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8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Главная медицинская сестра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59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485" w:type="dxa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Введен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26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Отменен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260" w:type="dxa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Рассылка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26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Заместителю главного врача по медицинской части, заместителю главного врача по педиатрической помощи, главной медсестре, в отдел 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260" w:type="dxa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Место хранения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26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Кабинет главной медицинской сестры, папка № 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экземпляров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26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vMerge w:val="restart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Согласование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8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Должность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0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Ф. И. 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1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8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главного врача по медицинской 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0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15" w:type="dxa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8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главного врача по педиатрической 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0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15" w:type="dxa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Плановую госпитализацию проводят в соответствии с порядком, установленным Территориальной программой государственных гарантий бесплатного оказания гражданам медицинской помощи.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 плановой госпитализации по абсолютным показаниям не более 7 дней и по относительным показаниям не более 20 дней с момента осуществления показаний к госпитализации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внедрения СОПа: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за плановой госпитализацией с обязательным личным осмотром и контролем полноты догоспитального обследования и правильности оформления медицинских документов;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эффективности использования коечного фонда стационаров, сокращения числа необоснованных госпитализаций, оптимизации объема и повышения качества оказываемой медицинской помощи.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Ответственность.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Ответственным за организацию плановой госпитализации в стационар является заведующий приемно-диагностическим отделением.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Отбор пациентов на плановую госпитализацию проводят заведующие коечными отделениями в кабинете врача-консультанта планового приемного покоя в соответствии с графиком работы (приложение 1).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У пациента при обращении на плановую госпитализацию при себе должны быть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(каждая МО должна иметь внутренний приказ на регламентируемые методы обследования, средства личной гигиены, разрешенные для передачи пациентам)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1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документы (приложение 2);</w:t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анализов в соответствии со стандартами обследования, обязательными для всех МО (приложение 2);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1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инструментальных методов исследования (с приложением оригиналов исследования) (приложение 2);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средства личной гигиены и вещи, разрешенные для передачи пациентам и их законным представителям (приложение 3).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У лица, которое ухаживает за пациентом, при обращении на плановую госпитализацию при себе должны быть: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2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документы (приложение 2);</w:t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анализов в соответствии со стандартами обследования, обязательными для всех МО (приложение 2);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инструментальных методов исследования (с приложением оригиналов исследования) (приложение 2).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Пациент либо его законный представитель самостоятельно заполняют форму добровольного информированного согласия, при возникновении вопросов обращаются к врачу.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Заведующий коечным отделением либо тот, кто исполняет обязанности заведующего отделением на период отпуска или больничного листа, проводит отбор па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циентов на плановую госпитализацию, осматривает пациента, проверяет наличие результатов анализов, исследований в соответствии со стандартами обследования, подписывает направление по форме 027/у на госпитализацию с указанием отделения и даты госпитализации.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Информирует пациента под подпись с бланком информированного согласия пациента на медицинское вмешательство и на обработку персональных данных.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При выявлении дефектов в заполнении направления это фиксируется в журнале дефектов и передается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утреннем рапорте нач.меду или зав.приемного отделения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 Оформление медицинской документации для плановой госпитализации проводится в холле планового приемного покоя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занесение в МИС МО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 Медицинская сестра планового приемного покоя при обращении пациента на плановую госпитализацию: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8.1. Оформляет медицинскую карту госпитализируемого пациента.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8.2. Вклеивает в медицинскую карту направление, результаты анализов, инструментальных исследований.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8.3. Информирует больного под подпись:</w:t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3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 режиме работы стационара;</w:t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месте хранения верхней одежды.</w:t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8.4. Осматривает на педикулез и чесотку пациента и лиц, ухаживающих за ним.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8.5. Выдает идентификационный браслет.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8.6. Сопровождает в отделение.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9. Если верхняя одежда пациентов сдается в гардероб, гардеробщица заполняет квитанцию на одежду в двух экземплярах с подробным перечнем вещей. Одна квитанция вклеивается в медицинскую карту на последнюю страницу, другая хранится на складе вместе с одеждой.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Запрещено принимать в гардероб:</w:t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4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личные документы больного, деньги, ценные бумаги, украшения, ценности, мобильные телефоны;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продукты питания.</w:t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10. Плановая госпитализация иногородних пациентов или иностранных граждан согласовывается с администрацией больницы. Направление пациента согласовывается с заместителем главного врача по медицинской части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Ивановым И.И.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Плановая госпитализация иностранных граждан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Иност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ранные граждане, являющиеся застрахованными лицами в соответствии с Федеральным законом «Об обязательном медицинском страховании в Российской Федерации», имеют право на бесплатное оказание медицинской помощи в рамках обязательного медицинского страхования.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Медицинская помощь в плановой форме оказывается иностранным гражданам в соответствии с договорами о предоставлении платных медицинских услуг либо договорами добровольного медицинского страхования в сфере обязательного медицинского страхования.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Приложение 1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приема плановых пациентов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НЕВРОЛОГ, НЕФРОЛОГ, ПЕДИАТР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145"/>
        <w:gridCol w:w="270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Дни 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Понедельник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9:00 до 11:00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Вторник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9:00 до 11:00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9:00 до 11:00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Четверг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9:00 до 11:00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Пятница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9:00 до 11:00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ХИРУРГ</w:t>
      </w:r>
      <w:r>
        <w:rPr>
          <w:rFonts w:hAnsi="Times New Roman" w:cs="Times New Roman"/>
          <w:color w:val="000000"/>
          <w:sz w:val="24"/>
          <w:szCs w:val="24"/>
        </w:rPr>
      </w:r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145"/>
        <w:gridCol w:w="270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Дни 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Понедельник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Вторник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13:00–14:00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Четверг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13:00–14:00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Пятница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</w:tbl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ТРАВМАТОЛОГ</w:t>
      </w:r>
      <w:r>
        <w:rPr>
          <w:rFonts w:hAnsi="Times New Roman" w:cs="Times New Roman"/>
          <w:color w:val="000000"/>
          <w:sz w:val="24"/>
          <w:szCs w:val="24"/>
        </w:rPr>
      </w:r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145"/>
        <w:gridCol w:w="270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Дни 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Понедельник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11:00–12:00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Вторник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11:00–12:00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Четверг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Пятница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УРОЛОГ</w:t>
      </w:r>
      <w:r>
        <w:rPr>
          <w:rFonts w:hAnsi="Times New Roman" w:cs="Times New Roman"/>
          <w:color w:val="000000"/>
          <w:sz w:val="24"/>
          <w:szCs w:val="24"/>
        </w:rPr>
      </w:r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145"/>
        <w:gridCol w:w="270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Дни 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Понедельник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11:00–12:00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Вторник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11:00–12:00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11:00–12:00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Четверг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11:00–12:00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Пятница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11:00–12:00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ОТОРИНОЛАРИНГОЛОГ</w:t>
      </w:r>
      <w:r>
        <w:rPr>
          <w:rFonts w:hAnsi="Times New Roman" w:cs="Times New Roman"/>
          <w:color w:val="000000"/>
          <w:sz w:val="24"/>
          <w:szCs w:val="24"/>
        </w:rPr>
      </w:r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145"/>
        <w:gridCol w:w="270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Дни 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Понедельник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12:00–13:00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Вторник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12:00–13:00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Четверг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Пятница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ОФТАЛЬМОЛОГ</w:t>
      </w:r>
      <w:r>
        <w:rPr>
          <w:rFonts w:hAnsi="Times New Roman" w:cs="Times New Roman"/>
          <w:color w:val="000000"/>
          <w:sz w:val="24"/>
          <w:szCs w:val="24"/>
        </w:rPr>
      </w:r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145"/>
        <w:gridCol w:w="270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Дни 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Понедельник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8:00–9:00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Вторник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8:00–9:00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Четверг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45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Пятница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700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8:00–9:00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Приложение 2</w:t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Что должно быть у пациента при обращении на плановую госпитализацию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Соматические отделения: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Свидетельство о рождении детям до 14 лет (и его ксерокопия).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Действующий полис ОМС или ДМС при его наличии.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Паспорт для детей старше 14 лет (и его ксерокопия).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СНИЛС (и его ксерокопия).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Направление на стационарное лечение из поликлиники, больницы по форме 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7/у, с краткими данн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ыми анамнеза жизни и болезни, объективного осмотра, результатов догоспитального обследования и предварительного диагноза. В направление должны быть внесены данные о количестве календарных дней временной нетрудоспособности по всем случаям ухода за ребенком.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Справка от врача с указанием сведений об эпидокружении (срок годности справки – три дня).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 Амбулаторная карта (форма 112).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8. Результаты Манту (дети от 1 года до 14 лет включительно). Данные БЦЖ (дети до года).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9. Результаты флюорографии для детей 15 лет и старше (результат действителен в течение одного года).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10. Бак. посев кала детям до двух лет (результат действителен в течение 14 дней).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11. Кал на я/глист (результат действителен в течение одного месяца).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12. Результат соскоба на я/остриц (результат действителен в течение одного месяца).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13. Анализ крови на сифилис МРП (дети 14 лет и старше) (результат действителен в течение двух недель).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14. Анализ крови на ВИЧ-ИФА (дети 15 лет и старше) (результат действителен в течение трех месяцев).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15. Данные о вакцинации против кори (данные в прививочном кабинете поликлиники по месту прикрепления).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16. Клинический анализ крови (результат действителен в течение 10 дней).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17. Общий анализ мочи (результат действителен в течение 10 дней).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</w:r>
    </w:p>
    <w:p>
      <w:pPr>
        <w:rPr>
          <w:rFonts w:hAnsi="Times New Roman" w:cs="Times New Roman"/>
          <w:color w:val="ee0000"/>
          <w:sz w:val="24"/>
          <w:szCs w:val="24"/>
          <w:lang w:val="ru-RU"/>
        </w:rPr>
      </w:pPr>
      <w:r>
        <w:rPr>
          <w:rFonts w:hAnsi="Times New Roman" w:cs="Times New Roman"/>
          <w:color w:val="ee0000"/>
          <w:sz w:val="24"/>
          <w:szCs w:val="24"/>
          <w:lang w:val="ru-RU"/>
        </w:rPr>
        <w:t xml:space="preserve">Ссылок на приказ МЗ нет, но каждая МО регламентирует внутренним приказом список доп.обследований.</w:t>
      </w:r>
      <w:r>
        <w:rPr>
          <w:rFonts w:hAnsi="Times New Roman" w:cs="Times New Roman"/>
          <w:color w:val="ee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Оториноларингологическое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отделение: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Свидетельство о рождении детям до 14 лет (и его ксерокопия).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Действующий полис ОМС или ДМС при его наличии.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Паспорт для детей старше 14 лет (и его ксерокопия).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СНИЛС (и его ксерокопия).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Направление на стационарное лечение из поликлиники, больницы по форме 027/у, с краткими данн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ыми анамнеза жизни и болезни, объективного осмотра, результатов догоспитального обследования и предварительного диагноза. В направление должны быть внесены данные о количестве календарных дней временной нетрудоспособности по всем случаям ухода за ребенком.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Справка от врача с указанием сведений об эпидокружении (срок годности справки – три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дня).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 Амбулаторная карта (форма 112).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 Результаты Манту (дети от 1 года до 14 лет включительно). Данные БЦЖ (дети до года).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9. Результаты флюорографии для детей 15 лет и старше (результат действителен в течение одного года).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10. Справка от педиатра о состоянии здоровья.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11. Справка от стоматолога о санировании полости рта.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12. Клинический анализ крови, время свертывания, длительность кровотечения (результат действителен в течение 10 дней).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13. Общий анализ мочи (результат действителен в течение 10 дней).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14. Бак. посев кала детям до двух лет (результат действителен в течение 14 дней).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15. Кал на я/глист (результат действителен в течение одного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месяца).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16. Результат соскоба на я/остриц (результат действителен в течение одного месяца).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17. Анализ крови на сифилис ИФА (дети 14 лет и старше) (результат действителен в течение двух недель).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18. Анализ крови на ВИЧ-ИФА (дети 15 лет и старше) (результат действителен в течение трех месяцев).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19. Анализ крови на НВ</w:t>
      </w:r>
      <w:r>
        <w:rPr>
          <w:rFonts w:hAnsi="Times New Roman" w:cs="Times New Roman"/>
          <w:color w:val="000000"/>
          <w:sz w:val="24"/>
          <w:szCs w:val="24"/>
        </w:rPr>
        <w:t xml:space="preserve">s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</w:t>
      </w:r>
      <w:r>
        <w:rPr>
          <w:rFonts w:hAnsi="Times New Roman" w:cs="Times New Roman"/>
          <w:color w:val="000000"/>
          <w:sz w:val="24"/>
          <w:szCs w:val="24"/>
        </w:rPr>
        <w:t xml:space="preserve">g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(результат действителен в течение одного месяца).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20. ЭКГ (при патологии ССС) (результат действителен в течение 10 дней).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21. Данные о вакцинации против кори (данные в прививочном кабинете поликлиники по месту прикрепления).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22. Анализ крови на функциональные печеночные пробы, общий белок, глюкозу, фибриноген.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Отделения урологии и хирургии: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Свидетельство о рождении детям до 14 лет (и его ксерокопия).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Действующий полис ОМС или ДМС при его наличии.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Паспорт для детей старше 14 лет (и его ксерокопия).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СНИЛС (и его ксерокопия).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Направление на стационарное лечение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из поликлиники, больницы по форме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027/у, с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краткими данными анамнеза жизни и болезни, данными объективного осмотра, результатов догоспитального обследования и предварительного диагноза. В направление должны быть внесены данные о количестве календарных дней временной нетрудоспособности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 всем случаям ухода за данным ребенком.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Справка от врача с указанием сведений об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эпидокружении (срок годности справки три дня).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 Амбулаторная карта (форма 112).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Манту (дети от 1 года до 14 лет включительно).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9. Результаты ФЛГ для детей 15 лет и старше (результат действителен в течение одного года).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10. Данные БЦЖ (дети до года).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11. Клинический анализ крови (результат действителен в течение 10 дней).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12. ОАМ (результат действителен в течение 10 дней).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13. Время свертываемости и длительность кровотечения (результат действителен в течение 10 дней).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14. Бак. посев кала детям до двух лет (результат действителен в течение 14 дней).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15. Кал на я/глист (результат действителен в течение одного месяца).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16. Результат соскоба на я/остриц (результат действителен в течение одного месяца).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17. Анализ крови на сифилис ИФА (дети 14 лет и старше) (результат действителен в течение двух недель).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18. Анализ крови на ВИЧ-ИФА (результат действителен в течение трех месяцев).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19. Анализ крови на НВ</w:t>
      </w:r>
      <w:r>
        <w:rPr>
          <w:rFonts w:hAnsi="Times New Roman" w:cs="Times New Roman"/>
          <w:color w:val="000000"/>
          <w:sz w:val="24"/>
          <w:szCs w:val="24"/>
        </w:rPr>
        <w:t xml:space="preserve">s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</w:t>
      </w:r>
      <w:r>
        <w:rPr>
          <w:rFonts w:hAnsi="Times New Roman" w:cs="Times New Roman"/>
          <w:color w:val="000000"/>
          <w:sz w:val="24"/>
          <w:szCs w:val="24"/>
        </w:rPr>
        <w:t xml:space="preserve">g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(результат действителен в течение одного месяца).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20. ЭКГ (при патологии ССС) (результат действителен в течение 10 дней).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21. Данные о вакцинации против кори (данные в прививочном кабинете поликлиники по месту прикрепления).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22. Справка от педиатра о состоянии здоровья.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Что должно быть 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лиц, осуществляющих уход за пациентом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Паспорт.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ФЛГ (результат действителен в течение одного года).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Результаты анализа крови на сифилис – ИФА (результат действителен в течение двух недель).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Данные о вакцинации против кори (данные в прививочном кабинете поликлиники по месту прикрепления).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С детьми до двух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лет – бак. анализ кала (результат действителен две недели).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Перечень оснований для отказа в приеме документов, необходимых для предоставления услуги: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5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отсутствие документов и результатов обследования, предусмотренных приложением 2, или предоставление документов и результатов обследования не в полном объеме;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предоставление заявителем документов, содержащих ошибки или противоречивые сведения.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Отделение патологии новорожденных: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Выписка из истории развития новорожденного с указанием паспорта и номера медицинского полиса мамы (ксерокопии) или амбулаторная карта с направлением на госпитализацию.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Свидетельство о рождении ребенка.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Действующий полис ОМС ребенка или ДМС при его наличии.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Справка об отсутствии контакта с инфекционными больными в течение 21 дня.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лиц, осуществляющих уход за новорожденным: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Паспорт с данными о прописке.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Действующий полис ОМС или ДМС при его наличии.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ФЛГ после родов (результат действителен в течение одного года).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Контактные телефоны родителей.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Бак. посев кала (результат действителен в течение 14 дней).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Кровь на </w:t>
      </w:r>
      <w:r>
        <w:rPr>
          <w:rFonts w:hAnsi="Times New Roman" w:cs="Times New Roman"/>
          <w:color w:val="000000"/>
          <w:sz w:val="24"/>
          <w:szCs w:val="24"/>
        </w:rPr>
        <w:t xml:space="preserve">RW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(результат действителен в течение 14 дней).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Приложение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Средства личной гигиены и вещи, разрешенные для передачи пациентам и их законным представителям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Предметы личной гигиены и ухода (зубная щетка, зубная паста, мыло, мыло жидкое детское, расческа, туалетная бумага, салфетки, подгузники, чашка, ложка, одноразовые пеленки).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Одежда с обеспечением ежедневной смены.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Игрушки моющиеся, настольные игры, карандаши, бумага, фломастеры, книги.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Запрещенные для передачи вещи: 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Острые предметы: ножи, ножницы, иглы, спицы, вилки.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Электронагревательные приборы, кипятильники.</w:t>
      </w:r>
      <w:r>
        <w:rPr>
          <w:rFonts w:hAnsi="Times New Roman" w:cs="Times New Roman"/>
          <w:color w:val="000000"/>
          <w:sz w:val="24"/>
          <w:szCs w:val="24"/>
        </w:rPr>
      </w:r>
    </w:p>
    <w:sectPr>
      <w:footnotePr/>
      <w:endnotePr/>
      <w:type w:val="nextPage"/>
      <w:pgSz w:w="12240" w:h="15840" w:orient="portrait"/>
      <w:pgMar w:top="567" w:right="1440" w:bottom="851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9"/>
    <w:link w:val="62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7"/>
    <w:next w:val="62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7"/>
    <w:next w:val="62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7"/>
    <w:next w:val="62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7"/>
    <w:next w:val="62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7"/>
    <w:next w:val="62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7"/>
    <w:next w:val="62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7"/>
    <w:next w:val="62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7"/>
    <w:next w:val="62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7"/>
    <w:next w:val="62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9"/>
    <w:link w:val="34"/>
    <w:uiPriority w:val="10"/>
    <w:rPr>
      <w:sz w:val="48"/>
      <w:szCs w:val="48"/>
    </w:rPr>
  </w:style>
  <w:style w:type="paragraph" w:styleId="36">
    <w:name w:val="Subtitle"/>
    <w:basedOn w:val="627"/>
    <w:next w:val="62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9"/>
    <w:link w:val="36"/>
    <w:uiPriority w:val="11"/>
    <w:rPr>
      <w:sz w:val="24"/>
      <w:szCs w:val="24"/>
    </w:rPr>
  </w:style>
  <w:style w:type="paragraph" w:styleId="38">
    <w:name w:val="Quote"/>
    <w:basedOn w:val="627"/>
    <w:next w:val="62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7"/>
    <w:next w:val="62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9"/>
    <w:link w:val="42"/>
    <w:uiPriority w:val="99"/>
  </w:style>
  <w:style w:type="paragraph" w:styleId="44">
    <w:name w:val="Footer"/>
    <w:basedOn w:val="62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9"/>
    <w:link w:val="44"/>
    <w:uiPriority w:val="99"/>
  </w:style>
  <w:style w:type="paragraph" w:styleId="46">
    <w:name w:val="Caption"/>
    <w:basedOn w:val="627"/>
    <w:next w:val="6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9"/>
    <w:uiPriority w:val="99"/>
    <w:unhideWhenUsed/>
    <w:rPr>
      <w:vertAlign w:val="superscript"/>
    </w:rPr>
  </w:style>
  <w:style w:type="paragraph" w:styleId="178">
    <w:name w:val="endnote text"/>
    <w:basedOn w:val="62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9"/>
    <w:uiPriority w:val="99"/>
    <w:semiHidden/>
    <w:unhideWhenUsed/>
    <w:rPr>
      <w:vertAlign w:val="superscript"/>
    </w:rPr>
  </w:style>
  <w:style w:type="paragraph" w:styleId="181">
    <w:name w:val="toc 1"/>
    <w:basedOn w:val="627"/>
    <w:next w:val="62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7"/>
    <w:next w:val="62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7"/>
    <w:next w:val="62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7"/>
    <w:next w:val="62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7"/>
    <w:next w:val="62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7"/>
    <w:next w:val="62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7"/>
    <w:next w:val="62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7"/>
    <w:next w:val="62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7"/>
    <w:next w:val="62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7"/>
    <w:next w:val="627"/>
    <w:uiPriority w:val="99"/>
    <w:unhideWhenUsed/>
    <w:pPr>
      <w:spacing w:after="0" w:afterAutospacing="0"/>
    </w:pPr>
  </w:style>
  <w:style w:type="paragraph" w:styleId="627" w:default="1">
    <w:name w:val="Normal"/>
    <w:qFormat/>
  </w:style>
  <w:style w:type="paragraph" w:styleId="628">
    <w:name w:val="Heading 1"/>
    <w:basedOn w:val="627"/>
    <w:next w:val="627"/>
    <w:link w:val="632"/>
    <w:uiPriority w:val="9"/>
    <w:qFormat/>
    <w:pPr>
      <w:keepLines/>
      <w:keepNext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29" w:default="1">
    <w:name w:val="Default Paragraph Font"/>
    <w:uiPriority w:val="1"/>
    <w:unhideWhenUsed/>
  </w:style>
  <w:style w:type="table" w:styleId="6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1" w:default="1">
    <w:name w:val="No List"/>
    <w:uiPriority w:val="99"/>
    <w:semiHidden/>
    <w:unhideWhenUsed/>
  </w:style>
  <w:style w:type="character" w:styleId="632" w:customStyle="1">
    <w:name w:val="Заголовок 1 Знак"/>
    <w:basedOn w:val="629"/>
    <w:link w:val="628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2025-09-29T13:18:13Z</dcterms:modified>
</cp:coreProperties>
</file>