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ГБУЗ «Больница»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«Больница»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Редакция 1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СОП «Передача информации и результатов исследования пациентов в устной форме»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278"/>
        </w:trPr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0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>
        <w:trPr>
          <w:trHeight w:val="266"/>
        </w:trPr>
        <w:tc>
          <w:tcPr>
            <w:tcW w:w="1534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Утвердил</w:t>
            </w:r>
          </w:p>
        </w:tc>
        <w:tc>
          <w:tcPr>
            <w:tcW w:w="361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врач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66"/>
        </w:trPr>
        <w:tc>
          <w:tcPr>
            <w:tcW w:w="1534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Разработал</w:t>
            </w:r>
          </w:p>
        </w:tc>
        <w:tc>
          <w:tcPr>
            <w:tcW w:w="361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главного врача по педиатрической помощи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193"/>
        </w:trPr>
        <w:tc>
          <w:tcPr>
            <w:tcW w:w="1534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Введен</w:t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99"/>
        </w:trPr>
        <w:tc>
          <w:tcPr>
            <w:tcW w:w="1534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Отменен</w:t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31"/>
        </w:trPr>
        <w:tc>
          <w:tcPr>
            <w:tcW w:w="1534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Рассылка</w:t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Заместителю главного врача по акушерско-гинекологической помощи, заместителю главного врача по педиатрической помощи, главной медсестре, в отдел качества</w:t>
            </w:r>
          </w:p>
        </w:tc>
      </w:tr>
      <w:tr>
        <w:trPr>
          <w:trHeight w:val="331"/>
        </w:trPr>
        <w:tc>
          <w:tcPr>
            <w:tcW w:w="1534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Изменение</w:t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31"/>
        </w:trPr>
        <w:tc>
          <w:tcPr>
            <w:tcW w:w="1534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 хранения</w:t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31"/>
        </w:trPr>
        <w:tc>
          <w:tcPr>
            <w:tcW w:w="1534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экземпляров</w:t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73"/>
        </w:trPr>
        <w:tc>
          <w:tcPr>
            <w:tcW w:w="1534" w:type="dxa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Согласование</w:t>
            </w:r>
          </w:p>
        </w:tc>
        <w:tc>
          <w:tcPr>
            <w:tcW w:w="361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>
        <w:trPr>
          <w:trHeight w:val="73"/>
        </w:trPr>
        <w:tc>
          <w:tcPr>
            <w:tcW w:w="1534" w:type="dxa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главного врача по акушерско-гинекологической помощи</w:t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73"/>
        </w:trPr>
        <w:tc>
          <w:tcPr>
            <w:tcW w:w="1534" w:type="dxa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61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отдела качества и безопасности медицинской помощи</w:t>
            </w:r>
          </w:p>
        </w:tc>
        <w:tc>
          <w:tcPr>
            <w:tcW w:w="17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Цель введения регламента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Минимизация рисков, связанных с передачей информации и результатов лечения при угрожаемых жизни состояниях и качеством оказания медицинских услуг.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Ответственные лица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Ответственными за соблюдение регламента являются заведующие отделениями Перинатального центра и Детской больницы.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Контроль  за соблюдением Регламента возлагается на заместителей главного врача по акушерско-гинекологической помощи и педиатрической помощи соответственно.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Врачи и средний медицинский персонал при передаче информации и результатов исследований (показатели анализов, диагностические находки) в устной форме по телефону обязаны: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Записать информацию в медицинской карте, амбулаторной карте или первичном листе осмотра больного или на бумаге с указанием фамилии, имени, отчества больного, названия отделения, номера палаты, даты и времени приема информации.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После записывания информации запись должна быть прочитана вслух лицом, которое приняло данную информацию.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Запись (информация или результаты исследования) должны быть подтверждены лицом, которое их сообщило.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Лицо, принявшее информацию или результаты исследований, в конце записи должно указать свою фамилию и инициалы.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Примечание: </w:t>
      </w:r>
      <w:r>
        <w:rPr>
          <w:rFonts w:hAnsi="Times New Roman" w:cs="Times New Roman"/>
          <w:color w:val="000000"/>
          <w:sz w:val="24"/>
          <w:szCs w:val="24"/>
        </w:rPr>
        <w:t xml:space="preserve"> при проведении записи </w:t>
      </w:r>
      <w:r>
        <w:rPr>
          <w:rFonts w:hAnsi="Times New Roman" w:cs="Times New Roman"/>
          <w:color w:val="000000"/>
          <w:sz w:val="24"/>
          <w:szCs w:val="24"/>
        </w:rPr>
        <w:t>запрещается производить сокращения слов и единиц измерения (кроме общепринятых).</w:t>
      </w:r>
    </w:p>
    <w:p>
      <w:r>
        <w:rPr>
          <w:noProof/>
        </w:rPr>
        <w:drawing>
          <wp:inline xmlns:wp="http://schemas.openxmlformats.org/drawingml/2006/wordprocessingDrawing" distT="0" distB="0" distL="0" distR="0">
            <wp:extent cx="5732144" cy="4465939"/>
            <wp:effectExtent l="0" t="0" r="0" b="0"/>
            <wp:docPr id="1" name="Picture 1" descr="/api/doc/v1/image/-18560931?moduleId=118&amp;id=168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18560931?moduleId=118&amp;id=168071"/>
                    <pic:cNvPicPr>
                      <a:picLocks noChangeAspect="1" noChangeArrowheads="1"/>
                    </pic:cNvPicPr>
                  </pic:nvPicPr>
                  <pic:blipFill>
                    <a:blip r:embed="R632d41be3c0f425ebdc0f03622a885ab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4465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7e56a03e4b94244" /><Relationship Type="http://schemas.openxmlformats.org/officeDocument/2006/relationships/image" Target="/media/image.jpg" Id="R632d41be3c0f425ebdc0f03622a885a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