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ГБУЗ «Больница»</w:t>
      </w:r>
    </w:p>
    <w:p>
      <w:pPr>
        <w:spacing w:line="240" w:lineRule="auto"/>
        <w:jc w:val="right"/>
        <w:rPr>
          <w:rFonts w:hAnsi="Times New Roman" w:cs="Times New Roman"/>
          <w:color w:val="000000"/>
          <w:sz w:val="24"/>
          <w:szCs w:val="24"/>
        </w:rPr>
      </w:pPr>
      <w:r>
        <w:rPr>
          <w:rFonts w:hAnsi="Times New Roman" w:cs="Times New Roman"/>
          <w:color w:val="000000"/>
          <w:sz w:val="24"/>
          <w:szCs w:val="24"/>
        </w:rPr>
        <w:t>УТВЕРЖДАЮ</w:t>
      </w:r>
    </w:p>
    <w:p>
      <w:pPr>
        <w:spacing w:line="240" w:lineRule="auto"/>
        <w:jc w:val="right"/>
        <w:rPr>
          <w:rFonts w:hAnsi="Times New Roman" w:cs="Times New Roman"/>
          <w:color w:val="000000"/>
          <w:sz w:val="24"/>
          <w:szCs w:val="24"/>
        </w:rPr>
      </w:pPr>
      <w:r>
        <w:rPr>
          <w:rFonts w:hAnsi="Times New Roman" w:cs="Times New Roman"/>
          <w:color w:val="000000"/>
          <w:sz w:val="24"/>
          <w:szCs w:val="24"/>
        </w:rPr>
        <w:t>Главный врач</w:t>
      </w:r>
    </w:p>
    <w:p>
      <w:pPr>
        <w:spacing w:line="240" w:lineRule="auto"/>
        <w:jc w:val="right"/>
        <w:rPr>
          <w:rFonts w:hAnsi="Times New Roman" w:cs="Times New Roman"/>
          <w:color w:val="000000"/>
          <w:sz w:val="24"/>
          <w:szCs w:val="24"/>
        </w:rPr>
      </w:pPr>
      <w:r>
        <w:rPr>
          <w:rFonts w:hAnsi="Times New Roman" w:cs="Times New Roman"/>
          <w:color w:val="000000"/>
          <w:sz w:val="24"/>
          <w:szCs w:val="24"/>
        </w:rPr>
        <w:t>_______________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___________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ДОЛЖНОСТНАЯ ИНСТРУКЦИЯ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врача функциональной диагностики</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«____» ___________ 20____ года</w:t>
            </w:r>
          </w:p>
        </w:tc>
        <w:tc>
          <w:tcPr>
            <w:tcW w:w="0" w:type="auto"/>
            <w:tcMar>
              <w:top w:w="75" w:type="dxa"/>
              <w:left w:w="75" w:type="dxa"/>
              <w:bottom w:w="75" w:type="dxa"/>
              <w:right w:w="75" w:type="dxa"/>
            </w:tcMar>
            <w:vAlign w:val="top"/>
          </w:tcPr>
          <w:p>
            <w:r>
              <w:rPr>
                <w:rFonts w:hAnsi="Times New Roman" w:cs="Times New Roman"/>
                <w:color w:val="000000"/>
                <w:sz w:val="24"/>
                <w:szCs w:val="24"/>
              </w:rPr>
              <w:t>№ ______</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Настоящая должностная инструкция определяет должностные обязанности, права, ответственность врача функциональной диагностики </w:t>
      </w:r>
      <w:r>
        <w:rPr>
          <w:rFonts w:hAnsi="Times New Roman" w:cs="Times New Roman"/>
          <w:color w:val="000000"/>
          <w:sz w:val="24"/>
          <w:szCs w:val="24"/>
        </w:rPr>
        <w:t>_______________</w:t>
      </w:r>
      <w:r>
        <w:rPr>
          <w:rFonts w:hAnsi="Times New Roman" w:cs="Times New Roman"/>
          <w:color w:val="000000"/>
          <w:sz w:val="24"/>
          <w:szCs w:val="24"/>
        </w:rPr>
        <w:t xml:space="preserve"> (далее – медицинская организация).</w:t>
      </w:r>
    </w:p>
    <w:p>
      <w:pPr>
        <w:spacing w:line="240" w:lineRule="auto"/>
        <w:rPr>
          <w:rFonts w:hAnsi="Times New Roman" w:cs="Times New Roman"/>
          <w:color w:val="000000"/>
          <w:sz w:val="24"/>
          <w:szCs w:val="24"/>
        </w:rPr>
      </w:pPr>
      <w:r>
        <w:rPr>
          <w:rFonts w:hAnsi="Times New Roman" w:cs="Times New Roman"/>
          <w:color w:val="000000"/>
          <w:sz w:val="24"/>
          <w:szCs w:val="24"/>
        </w:rPr>
        <w:t>1.2. Врач функциональной диагностики относится к категории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1.3. На должность врача функциональной диагностики назначается лицо, имеющее:</w:t>
      </w:r>
    </w:p>
    <w:p>
      <w:pPr>
        <w:spacing w:line="240" w:lineRule="auto"/>
        <w:rPr>
          <w:rFonts w:hAnsi="Times New Roman" w:cs="Times New Roman"/>
          <w:color w:val="000000"/>
          <w:sz w:val="24"/>
          <w:szCs w:val="24"/>
        </w:rPr>
      </w:pPr>
      <w:r>
        <w:rPr>
          <w:rFonts w:hAnsi="Times New Roman" w:cs="Times New Roman"/>
          <w:color w:val="000000"/>
          <w:sz w:val="24"/>
          <w:szCs w:val="24"/>
        </w:rPr>
        <w:t>– высшее образование - специалитет по одной из специальностей: "Лечебное дело", "Педиатрия", "Медицинская биофизика", "Медицинская кибернетика" и подготовка в ординатуре по специальности "Функциональная диагностика";</w:t>
      </w:r>
    </w:p>
    <w:p>
      <w:pPr>
        <w:spacing w:line="240" w:lineRule="auto"/>
        <w:rPr>
          <w:rFonts w:hAnsi="Times New Roman" w:cs="Times New Roman"/>
          <w:color w:val="000000"/>
          <w:sz w:val="24"/>
          <w:szCs w:val="24"/>
        </w:rPr>
      </w:pPr>
      <w:r>
        <w:rPr>
          <w:rFonts w:hAnsi="Times New Roman" w:cs="Times New Roman"/>
          <w:color w:val="000000"/>
          <w:sz w:val="24"/>
          <w:szCs w:val="24"/>
        </w:rPr>
        <w:t>или</w:t>
      </w:r>
    </w:p>
    <w:p>
      <w:pPr>
        <w:spacing w:line="240" w:lineRule="auto"/>
        <w:rPr>
          <w:rFonts w:hAnsi="Times New Roman" w:cs="Times New Roman"/>
          <w:color w:val="000000"/>
          <w:sz w:val="24"/>
          <w:szCs w:val="24"/>
        </w:rPr>
      </w:pPr>
      <w:r>
        <w:rPr>
          <w:rFonts w:hAnsi="Times New Roman" w:cs="Times New Roman"/>
          <w:color w:val="000000"/>
          <w:sz w:val="24"/>
          <w:szCs w:val="24"/>
        </w:rPr>
        <w:t>– высшее образование - специалитет специальности "Лечебное дело", "Педиатрия" и подготовка в интернатуре и (или) ординатуре по одной из специальностей: "Авиационная и космическая медицина", "Акушерство и гинекология", "Анестезиология-реаниматология", "Водолазная медицина", "Дерматовенерология", "Детская кардиология", "Детская онкология", "Детская хирургия", "Детская урология-андрология", "Детская эндокринология", "Гастроэнтерология", "Гематология", "Гериатрия", "Инфекционные болезни", "Кардиология", "Колопроктология", "Лечебная физкультура и спортивная медицина", "Нефрология", "Неврология", "Неонатология", "Нейрохирургия", "Общая врачебная практика (семейная медицина)", "Онкология", "Оториноларингология", "Офтальмология", "Педиатрия", "Пластическая хирургия", "Профпатология", "Пульмонология", "Ревматология", "Рентгенэндоваскулярные диагностика и лечение", "Сердечно-сосудистая хирургия", "Скорая медицинская помощь", "Терапия", "Торакальная хирургия", "Травматология и ортопедия", "Урология", "Фтизиатрия", "Хирургия", "Эндокринология" и дополнительное профессиональное образование - программы профессиональной переподготовки по специальности "Функциональная диагностика".</w:t>
      </w:r>
    </w:p>
    <w:p>
      <w:pPr>
        <w:spacing w:line="240" w:lineRule="auto"/>
        <w:rPr>
          <w:rFonts w:hAnsi="Times New Roman" w:cs="Times New Roman"/>
          <w:color w:val="000000"/>
          <w:sz w:val="24"/>
          <w:szCs w:val="24"/>
        </w:rPr>
      </w:pPr>
      <w:r>
        <w:rPr>
          <w:rFonts w:hAnsi="Times New Roman" w:cs="Times New Roman"/>
          <w:color w:val="000000"/>
          <w:sz w:val="24"/>
          <w:szCs w:val="24"/>
        </w:rPr>
        <w:t>Без предъявления требований к опыту практической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1.4. Особые условия допуска к работе врача функциональной 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1.4.1. Сертификат специалиста или свидетельство об аккредитации специалиста по специальности "Функциональная диагностика".</w:t>
      </w:r>
    </w:p>
    <w:p>
      <w:pPr>
        <w:spacing w:line="240" w:lineRule="auto"/>
        <w:rPr>
          <w:rFonts w:hAnsi="Times New Roman" w:cs="Times New Roman"/>
          <w:color w:val="000000"/>
          <w:sz w:val="24"/>
          <w:szCs w:val="24"/>
        </w:rPr>
      </w:pPr>
      <w:r>
        <w:rPr>
          <w:rFonts w:hAnsi="Times New Roman" w:cs="Times New Roman"/>
          <w:color w:val="000000"/>
          <w:sz w:val="24"/>
          <w:szCs w:val="24"/>
        </w:rPr>
        <w:t>1.4.2. 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1.4.3. Отсутствие ограничений на занятие профессиональной деятельностью, установленных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1.5. Другие характеристики врача функциональной 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1.5.1. С целью профессионального роста и присвоения квалификационных категорий: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дополнительное профессиональное образование (программы повышения квалификации и программы профессиональной переподготовки);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профессиональных навыков через наставничество;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современных дистанционных образовательных технологий (образовательный портал и вебинары);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тренинги в симуляционных центрах;</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в съездах, конгрессах, конференциях, мастер-классах Соблюдение врачебной тайны, клятвы врача, принципов врачебной этики и деонтологии в работе с пациентами, их законными представителями и коллегами.</w:t>
      </w:r>
    </w:p>
    <w:p>
      <w:pPr>
        <w:spacing w:line="240" w:lineRule="auto"/>
        <w:rPr>
          <w:rFonts w:hAnsi="Times New Roman" w:cs="Times New Roman"/>
          <w:color w:val="000000"/>
          <w:sz w:val="24"/>
          <w:szCs w:val="24"/>
        </w:rPr>
      </w:pPr>
      <w:r>
        <w:rPr>
          <w:rFonts w:hAnsi="Times New Roman" w:cs="Times New Roman"/>
          <w:color w:val="000000"/>
          <w:sz w:val="24"/>
          <w:szCs w:val="24"/>
        </w:rPr>
        <w:t>1.5.2. Соблюдение нормативных правовых актов в сфере охраны здоровья граждан, регулирующих деятельность медицинских организаций и медицинских работников, программу государственных гарантий бесплатного оказания гражданам медицинской помощи.</w:t>
      </w:r>
    </w:p>
    <w:p>
      <w:pPr>
        <w:spacing w:line="240" w:lineRule="auto"/>
        <w:rPr>
          <w:rFonts w:hAnsi="Times New Roman" w:cs="Times New Roman"/>
          <w:color w:val="000000"/>
          <w:sz w:val="24"/>
          <w:szCs w:val="24"/>
        </w:rPr>
      </w:pPr>
      <w:r>
        <w:rPr>
          <w:rFonts w:hAnsi="Times New Roman" w:cs="Times New Roman"/>
          <w:color w:val="000000"/>
          <w:sz w:val="24"/>
          <w:szCs w:val="24"/>
        </w:rPr>
        <w:t>1.6. Врач функциональной диагностики должен знать:</w:t>
      </w:r>
    </w:p>
    <w:p>
      <w:pPr>
        <w:spacing w:line="240" w:lineRule="auto"/>
        <w:rPr>
          <w:rFonts w:hAnsi="Times New Roman" w:cs="Times New Roman"/>
          <w:color w:val="000000"/>
          <w:sz w:val="24"/>
          <w:szCs w:val="24"/>
        </w:rPr>
      </w:pPr>
      <w:r>
        <w:rPr>
          <w:rFonts w:hAnsi="Times New Roman" w:cs="Times New Roman"/>
          <w:color w:val="000000"/>
          <w:sz w:val="24"/>
          <w:szCs w:val="24"/>
        </w:rPr>
        <w:t>1.6.1. В рамках трудовой функции «Проведение исследования и оценка состояния функции внешнего дыхания»: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и медицинские противопоказания к проведению исследований и оценке состояния функции внешнего дыхания, в том числе: методами спирометрии, исследования неспровоцированных дыхательных объемов и потоков,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методами вымывания газов, капнометрии, пульсоксиметрии, импульсной осциллометрии, исследования спровоцированных дыхательных объемов и потоков, исследования дыхательных объемов и потоков с применением лекарственных препаратов, исследования дыхательных объемов и потоков при провокации физической нагрузкой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нормальную анатомию и нормальную физиологию человека, патологическую анатомию и патологическую физиологию дыхательной системы у лиц разного возраста, в том числе у детей;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патогенез пульмонологических заболеваний, основные клинические проявления пульмонологических заболеваний;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клинические, инструментальные, лабораторные методы диагностики пульмонологических заболеваний;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методы исследований и оценки состояния функции внешнего дыхания, диагностические возможности и методики их проведения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работы диагностического оборудования, на котором проводится исследование функции внешнего дыхания, правила его эксплуатации;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методики проведения исследований и оценки состояния функции внешнего дыхания, подготовки пациента к исследованиям;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теоретические основы методов исследований функции внешнего дыхания, в том числе, спирометрии,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методов вымывания газов, капнометрии, пульсоксиметрии, импульсной осциллометрии, оценки газового состава крови и кислотно-основного состояния крови, в том числе с использованием лекарственных, функциональных проб;</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особенности проведения исследований и оценки состояния функции внешнего дыхания у детей;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для оказания медицинской помощи в неотложной форме;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порядки оказания медицинской помощи, клинические рекомендации (протоколы лечения) по вопросам оказания медицинской помощи, стандарты медицинской помощи пациентам с заболеваниями органов дыхания;</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установление диагноза с учетом действующей международной статистической классификации болезней и проблем, связанных со здоровьем (далее – МКБ).</w:t>
      </w:r>
    </w:p>
    <w:p>
      <w:pPr>
        <w:spacing w:line="240" w:lineRule="auto"/>
        <w:rPr>
          <w:rFonts w:hAnsi="Times New Roman" w:cs="Times New Roman"/>
          <w:color w:val="000000"/>
          <w:sz w:val="24"/>
          <w:szCs w:val="24"/>
        </w:rPr>
      </w:pPr>
      <w:r>
        <w:rPr>
          <w:rFonts w:hAnsi="Times New Roman" w:cs="Times New Roman"/>
          <w:color w:val="000000"/>
          <w:sz w:val="24"/>
          <w:szCs w:val="24"/>
        </w:rPr>
        <w:t>1.6.2. В рамках трудовой функции «Проведение исследований и оценка состояния функции сердечно-сосудистой системы»:</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и медицинские противопоказания к проведению исследований и оценке состояния функции сердечно-сосудистой системы с помощью методов, в том числе: ЭКГ с регистрацией основных и дополнительных отведений, ЭКГ при наличии имплантированных антиаритмических устройств, длительного мониторирования ЭКГ по Холтеру, длительного мониторирования артериального давления, полифункционального (кардиореспираторного) мониторирования, эхокардиографии (трансторакальной, чреспищеводной, нагрузочной), ультразвукового исследования сосудов, оценки эластических свойств сосудистой стенки, наружной кардиотокографии плода; к оценке функционального состояния сердечно-сосудистой системы в покое и при использовании функциональных и нагрузочных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нормальную анатомию, нормальную физиологию человека, патологическую анатомию и патологическую физиологию сердца и сосудов, гендерные и возрастные особенности анатомии и физиологии, особенности анатомии и физиологии у лиц разного возраста, в том числе у детей;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клинические проявления заболеваний сердечно-сосудистой системы;</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работы диагностического оборудования, на котором проводится исследование сердечно-сосудистой системы, правила его эксплуатации;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формирования нормальной электрокардиограммы, особенности формирования зубцов и интервалов, их нормальные величины; варианты нормальной электрокардиограммы у лиц разного возраста, в том числе у детей;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электрокардиографические изменения при заболеваниях сердца;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варианты электрокардиографических нарушений;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методику анализа электрокардиограммы и оформления заключения;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регистрации электрической активности проводящей системы сердца, поверхностного электрокардиографического картирования, внутрисердечного электрофизиологического исследования, дистанционного наблюдения за показателями, получаемыми имплантируемыми антиаритмическими устройствами, модификации ЭКГ (дисперсионная ЭКГ по низкоамплитудным флуктуациям, векторкардиография, ортогональная ЭКГ, ЭКГ высокого разрешения, оценка вариабельности сердечного ритма по данным ритмограммы), принципы выполнения и интерпретации результатов чреспищеводной ЭКГ и электрической стимуляции предсердий;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ЭКГ с применением телемедицинских технологий, передаваемой по каналам информационно-телекоммуникационной сети "Интернет";</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экспресс-исследование сердца по электрокардиографическим сигналам от конечностей с помощью кардиовизора;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исследование поздних потенциалов сердца;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режимы мониторирования ЭКГ (холтеровского мониторирования), варианты анализа получаемой информации, признаки жизненно опасных нарушений;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варианты длительного мониторирования артериального давления, программы анализа показателей;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режимы эхокардиографического исследования, включая доплерэхокардиографию, чреспищеводную эхокардиографию, эхокардиографию с физической нагрузкой и с фармакологической нагрузкой (стрессэхокардиография), тканевое доплеровское исследование, трехмерную эхокардиографию, эхокардиографию чреспищеводную интраоперационную, ультразвуковое исследование коронарных артерий (в том числе, внутрисосудистое), программы обработки результатов;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варианты ультразвукового исследования сосудов, включая: ультразвуковую доплерографию (далее – УЗДГ), УЗДГ с медикаментозной пробой, УЗДГ методом мониторирования, УЗДГ транскраниальную с медикаментозными пробами, УЗДГ транскраниальную артерий методом мониторирования, УЗДГ транскраниальную артерий посредством мониторирования методом микроэмболодетекции, ультразвуковой доплеровской локации газовых пузырьков; УЗДГ сосудов (артерий и вен) верхних и нижних конечностей, дуплексное сканирование (далее - ДС) аорты, ДС экстракраниальных отделов брахиоцефальных артерий, ДС интракраниальных отделов брахиоцефальных артерий, ДС брахиоцефальных артерий, лучевых артерий с проведением ротационных проб, ДС артерий и вен верхних и нижних конечностей, УЗДГ сосудов глаза, ДС сосудов челюстно-лицевой области, триплексное сканирование (далее - ТС) вен, ТС нижней полой вены, подвздошных вен и вен нижних конечностей, ДС транскраниальное артерий и вен, ДС транскраниальное артерий и вен с нагрузочными пробами, внутрисосудистое ультразвуковое исследование;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функциональные и клинические методы исследования состояния сердечно-сосудистой системы, диагностические возможности и способы их проведения;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методы оценки скорости распространения пульсовой волны, принципы оценки эластических свойств сосудистой стенки;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общее представление о методах исследования микроциркуляции;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область применения реографии, в том числе компьютерной реографии, реовазографии с медикаментозными пробами;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методические подходы к оценке центральной и легочной гемодинамики, центрального артериального давления, общего периферического сопротивления, легочного сосудистого сопротивления;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 лазерной доплеровской флоуметрии сосудов различных областей;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 наружной кардиотокографии плода: основы метода, проведение, клиническое значение, интерпретация результатов;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использования новых методов исследования сердечно-сосудистой системы, в том числе магнитокардиографии, векторкардиографии;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методики подготовки пациента к исследованию;</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виды и методики проведения нагрузочных, функциональных и лекарственных проб, проб оценки вегетативной регуляции сердечно-сосудистой системы, оценка результатов, оформление заключения;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особенности проведения исследования и оценки состояния функции сердечно-сосудистой системы у лиц разного возраста, в том числе у детей;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для оказания медицинской помощи в неотложной форме;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порядки оказания медицинской помощи, клинические рекомендации (протоколы лечения) по вопросам оказания медицинской помощи, стандарты медицинской помощи пациентам с заболеваниями сердечно-сосудистой системы;</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МКБ.</w:t>
      </w:r>
    </w:p>
    <w:p>
      <w:pPr>
        <w:spacing w:line="240" w:lineRule="auto"/>
        <w:rPr>
          <w:rFonts w:hAnsi="Times New Roman" w:cs="Times New Roman"/>
          <w:color w:val="000000"/>
          <w:sz w:val="24"/>
          <w:szCs w:val="24"/>
        </w:rPr>
      </w:pPr>
      <w:r>
        <w:rPr>
          <w:rFonts w:hAnsi="Times New Roman" w:cs="Times New Roman"/>
          <w:color w:val="000000"/>
          <w:sz w:val="24"/>
          <w:szCs w:val="24"/>
        </w:rPr>
        <w:t>1.6.3. В рамках трудовой функции «Проведение исследования и оценка состояния функции нервной системы»: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и медицинские противопоказания к проведению исследований и оценке состояния функции нервной системы методами электроэнцефалографии (далее – ЭЭГ), электромиографии, реоэнцефалографии, паллестезиометрии, магнитной стимуляции головного мозга, нейросонографии, регистрации вызванных потенциалов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нормальную анатомию, нормальную физиологию человека, патологическую анатомию и патологическую физиологию центральной и периферической нервной системы, особенности функционирования нервной системы у лиц разного возраста, в том числе детей;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методов исследований нервной системы, в том числе: ЭЭГ, электромиографии, регистрации вызванных потенциалов, реоэнцефалографии, в том числе компьютерной реоэнцефалографии, ультразвукового исследования головного мозга, ультразвукового исследования периферических нервов, паллестезиометрии, транскраниальной магнитной стимуляции (далее – ТМС) головного мозга, нейросонографии, термографии, стабиллометрии;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ЭЭГ, совмещенной с видеомониторингом;</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регистрации моторных вызванных потенциалов (далее - ВП), регистрации соматосенсорных ВП, регистрации ВП коры головного мозга одной модальности (зрительных, когнитивных, акустических стволовых), теста слуховой адаптации, исследования коротколатентных, среднелатентных и длиннолатентных ВП, вызванной отоакустической эмиссии;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магнитной стимуляции головного мозга, спинномозговых и периферических нервов;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методов компьютерной паллестезиометрии, компьютерной термосенсометрии, компьютерного инфракрасного термосканирования, транскутанной оксиметрии, инфракрасной термографии;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мультимодального интраоперационного нейрофизиологического мониторинга;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полисомнографического исследования, электроокулографии;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предварительной подготовки нативной электроэнцефалограммы для выполнения количественных методов анализа ЭЭГ (спектрального, когерентного, трехмерной локализации), включая режимы фильтрации;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метода и диагностические возможности электромиографии (далее – ЭМГ) игольчатой, ЭМГ накожной, ЭМГ стимуляционной: срединного нерва, локтевого нерва, лучевого нерва, добавочного нерва, межреберного нерва, диафрагмального нерва, грудных нервов, ЭМГ игольчатыми электродами крупных мышц верхних и нижних конечностей, лица, локтевого, лучевого, добавочного межреберного нервов, электродиагностики (определение электровозбудимости - функциональных свойств - периферических двигательных нервов и скелетных мышц, лицевого, тройничного нервов и мимических и жевательных мышц);</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проведения пробы с ритмической стимуляцией для оценки нейромышечной передачи;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методов нейросонографии, ультразвукового исследования головного мозга (эхоэнцефалография (А-режим), транстемпоральная ультрасонография (В-режим)), ультразвукового исследования головного мозга интраоперационного, ультразвукового исследования кровотока (флоуметрия) в артериях головного мозга интраоперационного, ультразвукового исследования спинного мозга, ультразвукового исследования периферических нервов;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ЭЭГ с функциональными пробами, мониторирование ЭЭГ, в том числе в условиях отделения реанимации и операционной, методика оценки их результатов;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работы диагностического оборудования, на котором проводится исследование нервной системы, правила его эксплуатации;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особенности проведения исследований и оценки состояния функции нервной системы у детей;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методику подготовки пациента к исследованию;</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клинические проявления заболеваний центральной и периферической нервной системы;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к оказанию медицинской помощи в неотложной форме;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порядки оказания медицинской помощи, клинические рекомендации (протоколы лечения) по вопросам оказания медицинской помощи, стандарты медицинской помощи при заболеваниях нервной системы;</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МКБ.</w:t>
      </w:r>
    </w:p>
    <w:p>
      <w:pPr>
        <w:spacing w:line="240" w:lineRule="auto"/>
        <w:rPr>
          <w:rFonts w:hAnsi="Times New Roman" w:cs="Times New Roman"/>
          <w:color w:val="000000"/>
          <w:sz w:val="24"/>
          <w:szCs w:val="24"/>
        </w:rPr>
      </w:pPr>
      <w:r>
        <w:rPr>
          <w:rFonts w:hAnsi="Times New Roman" w:cs="Times New Roman"/>
          <w:color w:val="000000"/>
          <w:sz w:val="24"/>
          <w:szCs w:val="24"/>
        </w:rPr>
        <w:t>1.6.4. В рамках трудовой функции «Проведение исследования и оценка состояния функции пищеварительной, мочеполовой, эндокринной систем, органов кроветворения»: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и медицинские противопоказания к проведению исследований и оценке состояния функции пищеварительной, мочеполовой, эндокринной систем, органов кроветворения с использованием методов функциональной диагностики, в том числе при проведении функциональных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нормальную анатомию и нормальную физиологию человека, патологическую анатомию и патологическую физиологию пищеварительной, мочеполовой, эндокринной систем, органов кроветворения, особенности функционирования этих систем у лиц разного возраста, в том числе у детей;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и диагностические возможности методов, основанных на физических факторах, в том числе механических, электрических, ультразвуковых, световых, тепловых;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принципы работы диагностического оборудования, на котором проводится исследование, правила его эксплуатации;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подготовки пациента к исследованию;</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клинические проявления заболеваний пищеварительной, мочеполовой, эндокринной систем, органов кроветворения;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медицинские показания к оказанию медицинской помощи в неотложной форме;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порядки оказания медицинской помощи, клинические рекомендации (протоколы лечения) по вопросам оказания медицинской помощи, стандарты медицинской помощи при заболеваниях пищеварительной, мочеполовой, эндокринной систем, органов кроветворения;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МКБ.</w:t>
      </w:r>
    </w:p>
    <w:p>
      <w:pPr>
        <w:spacing w:line="240" w:lineRule="auto"/>
        <w:rPr>
          <w:rFonts w:hAnsi="Times New Roman" w:cs="Times New Roman"/>
          <w:color w:val="000000"/>
          <w:sz w:val="24"/>
          <w:szCs w:val="24"/>
        </w:rPr>
      </w:pPr>
      <w:r>
        <w:rPr>
          <w:rFonts w:hAnsi="Times New Roman" w:cs="Times New Roman"/>
          <w:color w:val="000000"/>
          <w:sz w:val="24"/>
          <w:szCs w:val="24"/>
        </w:rPr>
        <w:t>1.6.5. В рамках трудовой функции «Проведение и контроль эффективности мероприятий по профилактике и формированию здорового образа жизни, санитарно-гигиеническому просвещению населения»: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понятия "здоровье", его структура и содержание, закономерности формирования здорового образа жизни, а также факторы риска возникновения распространенных заболеваний;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дифференциация контингентных групп населения по уровню здоровья и виды профилактики;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критерии здорового образа жизни и методы его формирования;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социально-гигиенические и медицинские аспекты алкоголизма, наркоманий, токсикомании, основные принципы их профилактики;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формы и методы санитарно-гигиенического просвещения среди населения и медицинского персонала;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гигиенические мероприятия оздоровительного характера, способствующие укреплению здоровья и профилактике возникновения заболеваний;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систему физического воспитания и физиологическое нормирование двигательной активности подростков, взрослых;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теоретические основы рационального питания;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нормы физиологических потребностей в пищевых веществах и энергии для различных групп населения;</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принципы лечебного питания.</w:t>
      </w:r>
    </w:p>
    <w:p>
      <w:pPr>
        <w:spacing w:line="240" w:lineRule="auto"/>
        <w:rPr>
          <w:rFonts w:hAnsi="Times New Roman" w:cs="Times New Roman"/>
          <w:color w:val="000000"/>
          <w:sz w:val="24"/>
          <w:szCs w:val="24"/>
        </w:rPr>
      </w:pPr>
      <w:r>
        <w:rPr>
          <w:rFonts w:hAnsi="Times New Roman" w:cs="Times New Roman"/>
          <w:color w:val="000000"/>
          <w:sz w:val="24"/>
          <w:szCs w:val="24"/>
        </w:rPr>
        <w:t>1.6.6. В рамках трудовой функции «Проведение анализа медико-статистической информации, ведение медицинской документации, организация деятельности находящегося в распоряжении медицинского персонала»: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оформления медицинской документации в медицинских организациях, оказывающих медицинскую помощь по профилю "функциональная диагностика";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работы в информационных системах в сфере здравоохранения и информационно-телекоммуникационной сети "Интернет";</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правил внутреннего трудового распорядка, пожарной безопасности, охраны труда, санитарно-противоэпидемического режима, конфликтологии;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обеспечению внутреннего контроля качества и безопасности медицинской деятельности;</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должностные обязанности медицинских работников в медицинских организациях, оказывающих медицинскую помощь по профилю "функциональная диагностика ".</w:t>
      </w:r>
    </w:p>
    <w:p>
      <w:pPr>
        <w:spacing w:line="240" w:lineRule="auto"/>
        <w:rPr>
          <w:rFonts w:hAnsi="Times New Roman" w:cs="Times New Roman"/>
          <w:color w:val="000000"/>
          <w:sz w:val="24"/>
          <w:szCs w:val="24"/>
        </w:rPr>
      </w:pPr>
      <w:r>
        <w:rPr>
          <w:rFonts w:hAnsi="Times New Roman" w:cs="Times New Roman"/>
          <w:color w:val="000000"/>
          <w:sz w:val="24"/>
          <w:szCs w:val="24"/>
        </w:rPr>
        <w:t>1.6.7. В рамках трудовой функции «Оказание медицинской помощи в экстренной форме»: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методику сбора жалоб и анамнеза жизни и заболевания у пациентов (их законных представителей);</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методику физикального исследования пациентов (осмотр, пальпация, перкуссия, аускультация);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клинические признаки внезапного прекращения кровообращения и (или) дыхания;</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правила проведения базовой сердечно-легочной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1.7. Врач функциональной диагностики должен уметь:</w:t>
      </w:r>
    </w:p>
    <w:p>
      <w:pPr>
        <w:spacing w:line="240" w:lineRule="auto"/>
        <w:rPr>
          <w:rFonts w:hAnsi="Times New Roman" w:cs="Times New Roman"/>
          <w:color w:val="000000"/>
          <w:sz w:val="24"/>
          <w:szCs w:val="24"/>
        </w:rPr>
      </w:pPr>
      <w:r>
        <w:rPr>
          <w:rFonts w:hAnsi="Times New Roman" w:cs="Times New Roman"/>
          <w:color w:val="000000"/>
          <w:sz w:val="24"/>
          <w:szCs w:val="24"/>
        </w:rPr>
        <w:t>1.7.1. В рамках трудовой функции «Проведение исследования и оценка состояния функции внешнего дыхания»: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собирать жалобы, анамнез жизни и заболевания у пациента с заболеваниями органов дыхания (его законных представителей), анализировать информацию;</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медицинские показания и медицинские противопоказания к проведению исследований и оценке состояния функции внешнего дыхания, в том числе: методами спирометрии, исследования неспровоцированных дыхательных объемов и потоков,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методами вымывания газов, капнометрии, пульсоксиметрии, импульсной осциллометрии, исследования спровоцированных дыхательных объемов и потоков, исследования дыхательных объемов и потоков с применением лекарственных препаратов, исследования дыхательных объемов и потоков при провокации физической нагрузкой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на диагностическом оборудовании;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исследования и оценивать состояние функции внешнего дыхания методами спирометрии, исследования неспровоцированных дыхательных объемов и потоков,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методами вымывания газов, капнометрии, пульсоксиметрии, импульсной осциллометрии, исследования спровоцированных дыхательных объемов и потоков, исследования дыхательных объемов и потоков с применением лекарственных препаратов, исследования дыхательных объемов и потоков при провокации физической нагрузкой и иными методами оценки функционального стояния внешнего дыхания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полученные результаты исследований, оформлять заключения по результатам исследования и оценивать состояние функции внешнего дыхания;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синдромы нарушений биомеханики дыхания, общие и специфические признаки заболевания;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дефекты выполнения исследований и определять их причины;</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с компьютерными программами обработки и анализа результатов исследований и оценивать состояние функции внешнего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1.7.2. В рамках трудовой функции «Проведение исследований и оценка состояния функции сердечно-сосудистой системы»: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собирать жалобы, анамнез жизни и заболевания у пациента с заболеваниями сердечно-сосудистой системы (его законных представителей), анализировать информацию;</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медицинские показания и медицинские противопоказания к проведению исследований и оценке состояния функции сердечно-сосудистой системы с помощью методов функциональной диагностики, в том числе: ЭКГ с регистрацией основных и дополнительных отведений, ЭКГ при наличии имплантированных антиаритмических устройств, длительного мониторирования ЭКГ по Холтеру, длительного мониторирования артериального давления, полифункционального (кардиореспираторного) мониторирования, эхокардиографии (трансторакальной, чреспищеводной, нагрузочной), ультразвукового исследования сосудов, оценки эластических свойств сосудистой стенки, наружной кардиотокографии плода; к оценке функционального состояния сердечно-сосудистой системы в покое и при использовании функциональных и нагрузочных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на диагностическом оборудовании, знать правила его эксплуатации;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исследования: ЭКГ с регистрацией основных и дополнительных отведений, ЭКГ при наличии имплантированных антиаритмических устройств, длительное мониторирование ЭКГ по Холтеру, длительное мониторирование артериального давления, полифункциональное (кардиореспираторное) мониторирование, эхокардиографию (трансторакальную, чреспищеводную, нагрузочную), наружную кардиотокографию плода, ультразвуковое исследование сосудов; оценивать эластические свойства сосудистой стенки;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нагрузочные и функциональные пробы (велоэргометрия, тредмил-тест, лекарственные пробы, пробы оценки вегетативной регуляции сердечно-сосудистой системы); 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суточное и многосуточное мониторирование электрокардиограммы, 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длительное мониторирование артериального давления, 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трансторакальную эхокардиографию, 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ультразвуковое исследование сосудов: головного мозга (экстракраниальных и интракраниальных сосудов), сосудов (артерий и вен) верхних и нижних конечностей, аорты, сосудов внутренних органов, применять функциональные пробы, оценивать и анализировать полученные результаты, оформлять заключение по результатам исследования;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синдромы нарушений биоэлектрической активности и сократительной функции миокарда, внутрисердечной, центральной, легочной и периферической гемодинамики;</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с компьютерными программами, проводить обработку и анализировать результаты исследования состояния функции сердечно-сосудистой системы.</w:t>
      </w:r>
    </w:p>
    <w:p>
      <w:pPr>
        <w:spacing w:line="240" w:lineRule="auto"/>
        <w:rPr>
          <w:rFonts w:hAnsi="Times New Roman" w:cs="Times New Roman"/>
          <w:color w:val="000000"/>
          <w:sz w:val="24"/>
          <w:szCs w:val="24"/>
        </w:rPr>
      </w:pPr>
      <w:r>
        <w:rPr>
          <w:rFonts w:hAnsi="Times New Roman" w:cs="Times New Roman"/>
          <w:color w:val="000000"/>
          <w:sz w:val="24"/>
          <w:szCs w:val="24"/>
        </w:rPr>
        <w:t>1.7.3. В рамках трудовой функции «Проведение исследования и оценка состояния функции нервной системы»:</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собирать жалобы, анамнез жизни и заболевания у пациента с заболеваниями нервной системы (его законных представителей), анализировать информацию;</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медицинские показания и медицинские противопоказания к проведению исследований и оценке состояния функции нервной системы, в том числе: методами ЭЭГ, электромиографии, регистрации вызванных потенциалов, реоэнцефалографии, паллестезиометрии, магнитной стимуляции головного мозга, нейросонографии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медицинские показания для оказания медицинской помощи детям и взрослым в неотложной форме при заболеваниях нервной системы;</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на диагностическом оборудовании;</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исследования нервной системы методами ЭЭГ, электромиографии, реоэнцефалографии, паллестезиометрии, магнитной стимуляции головного мозга, нейросонографии, регистрации вызванных потенциалов;</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функциональные пробы и интерпретировать результаты;</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по данным ЭЭГ общемозговые, локальные и другие патологические изменения, составлять описание особенностей электроэнцефалограммы, анализировать полученные результаты, оформлять заключение по результатам исследования;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в процессе анализа ЭЭГ по медицинским показаниям компьютерные количественные методы обработки ЭЭГ, в том числе, спектральный, когерентный анализ с топографическим картированием, методику трехмерной локализации источника патологической активности;</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регистрацию ЭЭГ согласно протоколу подтверждения смерти мозга;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с компьютерными программами обработки и анализа ЭЭГ, видео-ЭЭГ, электромиографии, реоэнцефалографии, паллестезиометрии, магнитной стимуляции головного мозга, нейросонографии, регистрации вызванных потенциалов.</w:t>
      </w:r>
    </w:p>
    <w:p>
      <w:pPr>
        <w:spacing w:line="240" w:lineRule="auto"/>
        <w:rPr>
          <w:rFonts w:hAnsi="Times New Roman" w:cs="Times New Roman"/>
          <w:color w:val="000000"/>
          <w:sz w:val="24"/>
          <w:szCs w:val="24"/>
        </w:rPr>
      </w:pPr>
      <w:r>
        <w:rPr>
          <w:rFonts w:hAnsi="Times New Roman" w:cs="Times New Roman"/>
          <w:color w:val="000000"/>
          <w:sz w:val="24"/>
          <w:szCs w:val="24"/>
        </w:rPr>
        <w:t>1.7.4. В рамках трудовой функции «Проведение исследования и оценка состояния функции пищеварительной, мочеполовой, эндокринной систем, органов кроветворения»: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собирать жалобы, анамнез жизни и заболевания у пациента с заболеваниями пищеварительной, мочеполовой, эндокринной систем, органов кроветворения (его законных представителей), анализировать информацию;</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медицинские показания и медицинские противопоказания к проведению исследований и оценке состояния функции пищеварительной, мочеполовой, эндокринной систем, органов кроветворения с использованием методов функциональной диагностики, как в состоянии покоя, так и при проведении функциональных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функциональные пробы и интерпретировать результаты;</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полученные результаты, оформлять заключение по результатам исследования;</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с компьютерными программами обработки и анализировать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1.7.5. В рамках трудовой функции «Проведение и контроль эффективности мероприятий по профилактике и формированию здорового образа жизни, санитарно-гигиеническому просвещению населения»: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санитарно-гигиеническое просвещение среди населения, пациентов (их законных представителей), находящихся в подчинении медицинского персонала с целью формирования здорового образа жизни;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физическое развитие и функциональное состояние организма пациента;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обучение пациентов (их законных представителей) принципам здорового образа жизни и отказа от вредных привычек;</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пользоваться методами физического воспитания, дифференцированно применять разнообразные средства и формы физической культуры;</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у пациентов (их законных представителей) позитивное медицинское поведение, направленное на сохранение и повышение уровня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1.7.6. В рамках трудовой функции «Проведение анализа медико-статистической информации, ведение медицинской документации, организация деятельности находящегося в распоряжении медицинского персонала»: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план работы и отчет о своей работе;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вести медицинскую документацию, в том числе в форме электронного документа и контролировать качество ведения;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возможности информационных систем в сфере здравоохранения и информационно-телекоммуникационной сети "Интернет";</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сохранять врачебную тайну при использовании в работе персональных данных пациентов;</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правила внутреннего трудового распорядка, требования пожарной безопасности, охраны труда, санитарно-противоэпидемического режима;</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осуществлять контроль выполнения должностных обязанностей медицинским персоналом.</w:t>
      </w:r>
    </w:p>
    <w:p>
      <w:pPr>
        <w:spacing w:line="240" w:lineRule="auto"/>
        <w:rPr>
          <w:rFonts w:hAnsi="Times New Roman" w:cs="Times New Roman"/>
          <w:color w:val="000000"/>
          <w:sz w:val="24"/>
          <w:szCs w:val="24"/>
        </w:rPr>
      </w:pPr>
      <w:r>
        <w:rPr>
          <w:rFonts w:hAnsi="Times New Roman" w:cs="Times New Roman"/>
          <w:color w:val="000000"/>
          <w:sz w:val="24"/>
          <w:szCs w:val="24"/>
        </w:rPr>
        <w:t>1.7.7. В рамках трудовой функции «Оказание медицинской помощи в экстренной форме»:</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мероприятия базовой сердечно-легочной реанимации;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оказывать медицинскую помощь в экстренной форме при состояниях, представляющих угрозу жизни, в том числе при клинической смерти (остановка жизненно важных функций организма человека (кровообращения и (или) дыхания);</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применять лекарственные препараты и медицинские изделия при оказании медицинской помощи в экстренной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1.8. Врач функциональной диагностики назначается на должность и освобождается от должности приказом главного врача медицинской организации в соответствии с действующим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1.9. Врач функциональной диагностики непосредственно подчиняется заведующему отделением, а при его отсутствии – руководителю медицинской организации или его заместителю.</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Должностные обязанности</w:t>
      </w:r>
    </w:p>
    <w:p>
      <w:pPr>
        <w:spacing w:line="240" w:lineRule="auto"/>
        <w:rPr>
          <w:rFonts w:hAnsi="Times New Roman" w:cs="Times New Roman"/>
          <w:color w:val="000000"/>
          <w:sz w:val="24"/>
          <w:szCs w:val="24"/>
        </w:rPr>
      </w:pPr>
      <w:r>
        <w:rPr>
          <w:rFonts w:hAnsi="Times New Roman" w:cs="Times New Roman"/>
          <w:color w:val="000000"/>
          <w:sz w:val="24"/>
          <w:szCs w:val="24"/>
        </w:rPr>
        <w:t>Врач функциональной диагностики выполняет следующие должностные обязанности:</w:t>
      </w:r>
    </w:p>
    <w:p>
      <w:pPr>
        <w:spacing w:line="240" w:lineRule="auto"/>
        <w:rPr>
          <w:rFonts w:hAnsi="Times New Roman" w:cs="Times New Roman"/>
          <w:color w:val="000000"/>
          <w:sz w:val="24"/>
          <w:szCs w:val="24"/>
        </w:rPr>
      </w:pPr>
      <w:r>
        <w:rPr>
          <w:rFonts w:hAnsi="Times New Roman" w:cs="Times New Roman"/>
          <w:color w:val="000000"/>
          <w:sz w:val="24"/>
          <w:szCs w:val="24"/>
        </w:rPr>
        <w:t>2.1. В рамках трудовой функции «Проведение исследования и оценка состояния функции внешнего дыхания»: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жалоб, анамнеза жизни и заболевания у пациента с заболеваниями органов дыхания (его законных представителей), анализ информации;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медицинских показаний и медицинских противопоказаний к проведению исследований и оценке состояния функции внешнего дыхания, в том числе: методами спирометрии, исследования неспровоцированных дыхательных объемов и потоков,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методами вымывания газов, капнометрии, пульсоксиметрии, импульсной осциллометрии, исследования спровоцированных дыхательных объемов и потоков, исследования дыхательных объемов и потоков с применением лекарственных препаратов, исследования дыхательных объемов и потоков при провокации физической нагрузкой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пациента к исследованию состояния функции внешнего дыхания;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исследований и оценка состояния функции внешнего дыхания, в том числе: методами спирометрии, исследования неспровоцированных дыхательных объемов и потоков, бодиплетизмографии, исследования диффузионной способности легких, оценки эластических свойств аппарата дыхания, теста с разведением индикаторного газа, методами вымывания газов, капнометрии, пульсоксиметрии, импульсной осциллометрии, исследования спровоцированных дыхательных объемов и потоков, исследования дыхательных объемов и потоков с применением лекарственных препаратов, исследования дыхательных объемов и потоков при провокации физической нагрузкой;</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компьютерными программами обработки и анализа результатов исследований и оценки состояния функции внешнего дыхания;</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освоение новых методов исследований и оценки состояния функции внешнего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2.2. В рамках трудовой функции «Проведение исследований и оценка состояния функции сердечно-сосудистой системы»:</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жалоб, анамнеза жизни и заболевания у пациента с заболеваниями сердечно-сосудистой системы (его законных представителей), анализ информации;</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медицинских показаний и медицинских противопоказаний к проведению исследований и оценке состояния функции сердечно-сосудистой системы с помощью методов функциональной диагностики, в том числе: электрокардиографии (далее - ЭКГ) с регистрацией основных и дополнительных отведений, ЭКГ при наличии имплантированных антиаритмических устройств, длительного мониторирования ЭКГ по Холтеру, длительного мониторирования артериального давления, полифункционального (кардиореспираторного) мониторирования, эхокардиографии (трансторакальной, чреспищеводной, нагрузочной), ультразвукового исследования сосудов, оценки эластических свойств сосудистой стенки, наружной кардиотокографии плода, оценки функционального состояния сердечно-сосудистой системы в покое и при использовании функциональных и нагрузочных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пациента к исследованию состояния функции сердечно-сосудистой системы;</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исследований функции сердечно-сосудистой системы с помощью методов функциональной диагностики, в том числе: ЭКГ с регистрацией основных и дополнительных отведений, длительного мониторирования ЭКГ по Холтеру, длительного мониторирования артериального давления, полифункционального (кардиореспираторного) мониторирования, эхокардиографии (трансторакальной, чреспищеводной, нагрузочной), ультразвукового исследования сосудов, оценки эластических свойств сосудистой стенки, наружной кардиотокографии плода, оценки функционального состояния сердечно-сосудистой системы в покое и при использовании функциональных и нагрузочных проб;</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 полученных результатов, оформление заключения по результатам исследования, в том числе: ЭКГ, длительного мониторирования ЭКГ по Холтеру, длительного мониторирования артериального давления, полифункционального (кардиореспираторного) мониторирования, эхокардиографии (трансторакальной, чреспищеводной, нагрузочной), ультразвукового исследования сосудов, оценки эластических свойств сосудистой стенки, наружной кардиотокографии плода;</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нагрузочных и функциональных проб (велоэргометрия, тредмил-тест, лекарственных проб, проб оценки вегетативной регуляции сердечно-сосудистой системы) и интерпретация результатов;</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 результатов исследований, оформление протокола исследований и заключения;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компьютерными программами обработки и анализа результатов исследований функции сердечно-сосудистой системы;</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освоение новых методов исследования функции сердечно-сосудистой системы.</w:t>
      </w:r>
    </w:p>
    <w:p>
      <w:pPr>
        <w:spacing w:line="240" w:lineRule="auto"/>
        <w:rPr>
          <w:rFonts w:hAnsi="Times New Roman" w:cs="Times New Roman"/>
          <w:color w:val="000000"/>
          <w:sz w:val="24"/>
          <w:szCs w:val="24"/>
        </w:rPr>
      </w:pPr>
      <w:r>
        <w:rPr>
          <w:rFonts w:hAnsi="Times New Roman" w:cs="Times New Roman"/>
          <w:color w:val="000000"/>
          <w:sz w:val="24"/>
          <w:szCs w:val="24"/>
        </w:rPr>
        <w:t>2.3. В рамках трудовой функции «Проведение исследования и оценка состояния функции нервной системы»:</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жалоб, анамнеза жизни и заболевания у пациента с заболеваниями нервной системы (его законных представителей), анализ информации;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медицинских показаний и медицинских противопоказаний к проведению исследований и оценке состояния функции нервной системы, в том числе: методами ЭЭГ, электромиографии, регистрации вызванных потенциалов, реоэнцефалографии, паллестезиометрии, магнитной стимуляции головного мозга, нейросонографии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пациента к исследованию состояния функции нервной системы;</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ЭЭГ, электромиографии, реоэнцефалографии, паллестезиометрии, магнитной стимуляции головного мозга, нейросонографии, регистрации вызванных потенциалов исследования головного мозга;</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 интерпретация ЭЭГ и видеоэлектроэнцефалограммы, оформление протокола исследования и оформление заключения;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ЭЭГ с функциональными нагрузками и интерпретация электроэнцефалограммы при функциональных пробах;</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электромиографии, паллестезиометрии, магнитной стимуляции головного мозга, нейросонографии, регистрации вызванных потенциалов;</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реоэнцефалографии с функциональными нагрузками и лекарственными пробами, интерпретация результатов;</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 полученных результатов, оформление заключения по результатам исследования;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компьютерными программами обработки и анализа результатов исследования нервной системы;</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освоение новых методов исследования нервной системы.</w:t>
      </w:r>
    </w:p>
    <w:p>
      <w:pPr>
        <w:spacing w:line="240" w:lineRule="auto"/>
        <w:rPr>
          <w:rFonts w:hAnsi="Times New Roman" w:cs="Times New Roman"/>
          <w:color w:val="000000"/>
          <w:sz w:val="24"/>
          <w:szCs w:val="24"/>
        </w:rPr>
      </w:pPr>
      <w:r>
        <w:rPr>
          <w:rFonts w:hAnsi="Times New Roman" w:cs="Times New Roman"/>
          <w:color w:val="000000"/>
          <w:sz w:val="24"/>
          <w:szCs w:val="24"/>
        </w:rPr>
        <w:t>2.4. В рамках трудовой функции «Проведение исследования и оценка состояния функции пищеварительной, мочеполовой, эндокринной систем, органов кроветворения»: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жалоб, анамнеза жизни и заболевания у пациента с заболеваниями пищеварительной, мочеполовой, эндокринной систем, органов кроветворения (его законных представителей), анализ информации;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медицинских показаний и медицинских противопоказаний к проведению исследований и оценке состояния функции пищеварительной, мочеполовой, эндокринной систем, органов кроветворения с использованием методов функциональной диагностики как в состоянии покоя, так и при проведении функциональных проб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пациента к исследованиям состояния функции пищеварительной, мочеполовой, эндокринной систем, органов кроветворения;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интерпретация полученных результатов, клиническая оценка, составление программы дальнейшего исследования пациента для постановки диагноза и определения тактики лечения и реабилитации;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компьютерными программами обработки и анализа результатов исследования;</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освоение новых методов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2.5. В рамках трудовой функции «Проведение и контроль эффективности мероприятий по профилактике и формированию здорового образа жизни, санитарно-гигиеническому просвещению населения»:</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санитарно-гигиенического просвещения среди населения, пациентов (их законных представителей), находящегося в распоряжении медицинского персонала с целью формирования здорового образа жизни;</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у пациентов (их законных представителей) мотивации к ведению здорового образа жизни и отказу от вредных привычек;</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у пациентов позитивного поведения, направленного на сохранение и повышение уровня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2.6. В рамках трудовой функции «Проведение анализа медико-статистической информации, ведение медицинской документации, организация деятельности находящегося в распоряжении медицинского персонала»: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составление плана работы и отчета о своей работе;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ведение медицинской документации, в том числе в форме электронного документа;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контроль выполнения должностных обязанностей находящимся в распоряжении медицинским персоналом;</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внутреннего контроля качества и безопасности медицинской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2.7. В рамках трудовой функции «Оказание медицинской помощи в экстренной форме»: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состояния, требующего оказания медицинской помощи в экстренной форме;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распознавание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применение лекарственных препаратов и медицинских изделий при оказании медицинской помощи в экстренной форме.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Права</w:t>
      </w:r>
    </w:p>
    <w:p>
      <w:pPr>
        <w:spacing w:line="240" w:lineRule="auto"/>
        <w:rPr>
          <w:rFonts w:hAnsi="Times New Roman" w:cs="Times New Roman"/>
          <w:color w:val="000000"/>
          <w:sz w:val="24"/>
          <w:szCs w:val="24"/>
        </w:rPr>
      </w:pPr>
      <w:r>
        <w:rPr>
          <w:rFonts w:hAnsi="Times New Roman" w:cs="Times New Roman"/>
          <w:color w:val="000000"/>
          <w:sz w:val="24"/>
          <w:szCs w:val="24"/>
        </w:rPr>
        <w:t>Врач функциональной диагностики имеет право:</w:t>
      </w:r>
    </w:p>
    <w:p>
      <w:pPr>
        <w:spacing w:line="240" w:lineRule="auto"/>
        <w:rPr>
          <w:rFonts w:hAnsi="Times New Roman" w:cs="Times New Roman"/>
          <w:color w:val="000000"/>
          <w:sz w:val="24"/>
          <w:szCs w:val="24"/>
        </w:rPr>
      </w:pPr>
      <w:r>
        <w:rPr>
          <w:rFonts w:hAnsi="Times New Roman" w:cs="Times New Roman"/>
          <w:color w:val="000000"/>
          <w:sz w:val="24"/>
          <w:szCs w:val="24"/>
        </w:rPr>
        <w:t>3.1. Вносить предложения по совершенствованию работы, связанной с предусмотренными настоящей инструкцией обязанностями.</w:t>
      </w:r>
    </w:p>
    <w:p>
      <w:pPr>
        <w:spacing w:line="240" w:lineRule="auto"/>
        <w:rPr>
          <w:rFonts w:hAnsi="Times New Roman" w:cs="Times New Roman"/>
          <w:color w:val="000000"/>
          <w:sz w:val="24"/>
          <w:szCs w:val="24"/>
        </w:rPr>
      </w:pPr>
      <w:r>
        <w:rPr>
          <w:rFonts w:hAnsi="Times New Roman" w:cs="Times New Roman"/>
          <w:color w:val="000000"/>
          <w:sz w:val="24"/>
          <w:szCs w:val="24"/>
        </w:rPr>
        <w:t>3.2. В пределах своей компетенции сообщать непосредственному руководителю о недостатках, выявленных в процессе исполнения должностных обязанностей, и вносить предложения по их устранению.</w:t>
      </w:r>
    </w:p>
    <w:p>
      <w:pPr>
        <w:spacing w:line="240" w:lineRule="auto"/>
        <w:rPr>
          <w:rFonts w:hAnsi="Times New Roman" w:cs="Times New Roman"/>
          <w:color w:val="000000"/>
          <w:sz w:val="24"/>
          <w:szCs w:val="24"/>
        </w:rPr>
      </w:pPr>
      <w:r>
        <w:rPr>
          <w:rFonts w:hAnsi="Times New Roman" w:cs="Times New Roman"/>
          <w:color w:val="000000"/>
          <w:sz w:val="24"/>
          <w:szCs w:val="24"/>
        </w:rPr>
        <w:t>3.3. Требовать от непосредственного руководителя оказания содействия в исполнении своих должностных обязанностей и прав.</w:t>
      </w:r>
    </w:p>
    <w:p>
      <w:pPr>
        <w:spacing w:line="240" w:lineRule="auto"/>
        <w:rPr>
          <w:rFonts w:hAnsi="Times New Roman" w:cs="Times New Roman"/>
          <w:color w:val="000000"/>
          <w:sz w:val="24"/>
          <w:szCs w:val="24"/>
        </w:rPr>
      </w:pPr>
      <w:r>
        <w:rPr>
          <w:rFonts w:hAnsi="Times New Roman" w:cs="Times New Roman"/>
          <w:color w:val="000000"/>
          <w:sz w:val="24"/>
          <w:szCs w:val="24"/>
        </w:rPr>
        <w:t>3.4. Запрашивать лично или через непосредственного руководителя информацию и документы, необходимые для выполнения своих должностных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3.5. Пользоваться иными правами, установленными Трудовым кодексом и другими законодательными актами Российской Федерации.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Врач функциональной диагностики привлекается к ответственности:</w:t>
      </w:r>
    </w:p>
    <w:p>
      <w:pPr>
        <w:spacing w:line="240" w:lineRule="auto"/>
        <w:rPr>
          <w:rFonts w:hAnsi="Times New Roman" w:cs="Times New Roman"/>
          <w:color w:val="000000"/>
          <w:sz w:val="24"/>
          <w:szCs w:val="24"/>
        </w:rPr>
      </w:pPr>
      <w:r>
        <w:rPr>
          <w:rFonts w:hAnsi="Times New Roman" w:cs="Times New Roman"/>
          <w:color w:val="000000"/>
          <w:sz w:val="24"/>
          <w:szCs w:val="24"/>
        </w:rPr>
        <w:t>4.1. За ненадлежащее исполнение или неисполнение своих должностных обязанностей, предусмотренных настоящей должностной инструкцией, – в порядке, установленном действующим трудовым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4.2. За правонарушения и преступления,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4.3. За нарушение Устава (Положения) медицинской организации (учреждения).</w:t>
      </w:r>
    </w:p>
    <w:p>
      <w:pPr>
        <w:spacing w:line="240" w:lineRule="auto"/>
        <w:rPr>
          <w:rFonts w:hAnsi="Times New Roman" w:cs="Times New Roman"/>
          <w:color w:val="000000"/>
          <w:sz w:val="24"/>
          <w:szCs w:val="24"/>
        </w:rPr>
      </w:pPr>
      <w:r>
        <w:rPr>
          <w:rFonts w:hAnsi="Times New Roman" w:cs="Times New Roman"/>
          <w:color w:val="000000"/>
          <w:sz w:val="24"/>
          <w:szCs w:val="24"/>
        </w:rPr>
        <w:t>4.4. За причинение материального ущерба медицинской организации (учреждению) – в порядке, установленном действующим трудовым и гражданским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4.5. За несвоевременное и неквалифицированное выполнение приказов, распоряжений и поручений руководства в соответствии с внутренними нормативными документами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4.6. За несоблюдение Правил внутреннего распорядка, противопожарной безопасности и техники безопасности – в соответствии с внутренними нормативными документами медицинской организации.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Условия работы</w:t>
      </w:r>
    </w:p>
    <w:p>
      <w:pPr>
        <w:spacing w:line="240" w:lineRule="auto"/>
        <w:rPr>
          <w:rFonts w:hAnsi="Times New Roman" w:cs="Times New Roman"/>
          <w:color w:val="000000"/>
          <w:sz w:val="24"/>
          <w:szCs w:val="24"/>
        </w:rPr>
      </w:pPr>
      <w:r>
        <w:rPr>
          <w:rFonts w:hAnsi="Times New Roman" w:cs="Times New Roman"/>
          <w:color w:val="000000"/>
          <w:sz w:val="24"/>
          <w:szCs w:val="24"/>
        </w:rPr>
        <w:t>5.1. Режим работы врача функциональной диагностики определяется в соответствии с Правилами внутреннего трудового распорядка.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В соответствии с </w:t>
      </w:r>
      <w:r>
        <w:rPr>
          <w:rFonts w:hAnsi="Times New Roman" w:cs="Times New Roman"/>
          <w:color w:val="000000"/>
          <w:sz w:val="24"/>
          <w:szCs w:val="24"/>
        </w:rPr>
        <w:t>_______________</w:t>
      </w:r>
      <w:r>
        <w:rPr>
          <w:rFonts w:hAnsi="Times New Roman" w:cs="Times New Roman"/>
          <w:color w:val="000000"/>
          <w:sz w:val="24"/>
          <w:szCs w:val="24"/>
        </w:rPr>
        <w:t xml:space="preserve"> работодатель проводит оценку эффективности деятельности врача функциональной 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5.3. Результаты работы и своевременность ее выполнения оцениваются по следующим критериям:</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достигнутые врачом функциональной диагностики при исполнении обязанностей, предусмотренных должностной инструкцией и трудовым договором;</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 законченной работы;</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выполнения должностных обязанностей;</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выполнение нормированных заданий, уровень производительности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5.4. Оценка результатов работы проводится на основе объективных показателей.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Порядок пересмотра должностной инструкции</w:t>
      </w:r>
    </w:p>
    <w:p>
      <w:pPr>
        <w:spacing w:line="240" w:lineRule="auto"/>
        <w:rPr>
          <w:rFonts w:hAnsi="Times New Roman" w:cs="Times New Roman"/>
          <w:color w:val="000000"/>
          <w:sz w:val="24"/>
          <w:szCs w:val="24"/>
        </w:rPr>
      </w:pPr>
      <w:r>
        <w:rPr>
          <w:rFonts w:hAnsi="Times New Roman" w:cs="Times New Roman"/>
          <w:color w:val="000000"/>
          <w:sz w:val="24"/>
          <w:szCs w:val="24"/>
        </w:rPr>
        <w:t>6.1. Должностная инструкция пересматривается, изменяется и дополняется по мере необходимости.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С приказом о внесении изменений (дополнений) в должностную инструкцию знакомятся под подпись все работники </w:t>
      </w:r>
      <w:r>
        <w:rPr>
          <w:rFonts w:hAnsi="Times New Roman" w:cs="Times New Roman"/>
          <w:color w:val="000000"/>
          <w:sz w:val="24"/>
          <w:szCs w:val="24"/>
        </w:rPr>
        <w:t>_______________</w:t>
      </w:r>
      <w:r>
        <w:rPr>
          <w:rFonts w:hAnsi="Times New Roman" w:cs="Times New Roman"/>
          <w:color w:val="000000"/>
          <w:sz w:val="24"/>
          <w:szCs w:val="24"/>
        </w:rPr>
        <w:t>, на которых распространяется действие этой инструкции.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7.1. Настоящая инструкция разработана с учетом положений приказа Минтруда России от 11.03.2019 № 138н «Об утверждении профессионального стандарта "Врач функциональной 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Ознакомление работника с настоящей должностной инструкцией осуществляется при приеме на работу (до подписания трудового договора). Факт ознакомления работника с настоящей должностной инструкцией подтверждается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9027" w:type="dxa"/>
        <w:tblCellMar>
          <w:top w:w="15" w:type="dxa"/>
          <w:left w:w="15" w:type="dxa"/>
          <w:bottom w:w="15" w:type="dxa"/>
          <w:right w:w="15" w:type="dxa"/>
        </w:tblCellMar>
        <w:tblLook w:val="0600"/>
      </w:tblPr>
      <w:tblGrid>
        <w:gridCol w:w="1440"/>
        <w:gridCol w:w="1440"/>
        <w:gridCol w:w="1440"/>
        <w:gridCol w:w="1440"/>
      </w:tblGrid>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_____________________</w:t>
            </w:r>
          </w:p>
        </w:tc>
        <w:tc>
          <w:tcPr>
            <w:tcW w:w="198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 ______________ 20___ года</w:t>
            </w:r>
          </w:p>
        </w:tc>
        <w:tc>
          <w:tcPr>
            <w:tcW w:w="198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 И. О.)</w:t>
            </w:r>
          </w:p>
        </w:tc>
      </w:tr>
      <w:tr>
        <w:trPr>
          <w:trHeight w:val="0"/>
        </w:trPr>
        <w:tc>
          <w:tcPr>
            <w:tcW w:w="487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w:t>
            </w:r>
          </w:p>
        </w:tc>
        <w:tc>
          <w:tcPr>
            <w:tcW w:w="198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 ______________ 20___ года</w:t>
            </w:r>
          </w:p>
        </w:tc>
        <w:tc>
          <w:tcPr>
            <w:tcW w:w="198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 И. О.)</w:t>
            </w:r>
          </w:p>
        </w:tc>
      </w:tr>
      <w:tr>
        <w:trPr>
          <w:trHeight w:val="0"/>
        </w:trPr>
        <w:tc>
          <w:tcPr>
            <w:tcW w:w="487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Юридическая служба</w:t>
            </w:r>
          </w:p>
        </w:tc>
        <w:tc>
          <w:tcPr>
            <w:tcW w:w="198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 ______________ 20___ года</w:t>
            </w:r>
          </w:p>
        </w:tc>
        <w:tc>
          <w:tcPr>
            <w:tcW w:w="198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 И. О.)</w:t>
            </w:r>
          </w:p>
        </w:tc>
      </w:tr>
      <w:tr>
        <w:trPr>
          <w:trHeight w:val="0"/>
        </w:trPr>
        <w:tc>
          <w:tcPr>
            <w:tcW w:w="487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Руководитель отдела кадров</w:t>
            </w:r>
          </w:p>
        </w:tc>
        <w:tc>
          <w:tcPr>
            <w:tcW w:w="198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 ______________ 20___ года</w:t>
            </w:r>
          </w:p>
        </w:tc>
        <w:tc>
          <w:tcPr>
            <w:tcW w:w="198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 И. О.)</w:t>
            </w:r>
          </w:p>
        </w:tc>
      </w:tr>
      <w:tr>
        <w:trPr>
          <w:trHeight w:val="0"/>
        </w:trPr>
        <w:tc>
          <w:tcPr>
            <w:tcW w:w="4874"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 инструкцией ознакомлен(а)</w:t>
            </w:r>
          </w:p>
          <w:p>
            <w:pPr>
              <w:spacing w:line="240" w:lineRule="auto"/>
              <w:rPr>
                <w:rFonts w:hAnsi="Times New Roman" w:cs="Times New Roman"/>
                <w:color w:val="000000"/>
                <w:sz w:val="24"/>
                <w:szCs w:val="24"/>
              </w:rPr>
            </w:pPr>
            <w:r>
              <w:rPr>
                <w:rFonts w:hAnsi="Times New Roman" w:cs="Times New Roman"/>
                <w:color w:val="000000"/>
                <w:sz w:val="24"/>
                <w:szCs w:val="24"/>
              </w:rPr>
              <w:t>или инструкцию получил(а):</w:t>
            </w:r>
          </w:p>
        </w:tc>
        <w:tc>
          <w:tcPr>
            <w:tcW w:w="198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874" w:type="dxa"/>
            <w:tcMar>
              <w:top w:w="75" w:type="dxa"/>
              <w:left w:w="75" w:type="dxa"/>
              <w:bottom w:w="75" w:type="dxa"/>
              <w:right w:w="75" w:type="dxa"/>
            </w:tcMar>
            <w:vAlign w:val="top"/>
          </w:tcPr>
          <w:p>
            <w:r>
              <w:rPr>
                <w:rFonts w:hAnsi="Times New Roman" w:cs="Times New Roman"/>
                <w:color w:val="000000"/>
                <w:sz w:val="24"/>
                <w:szCs w:val="24"/>
              </w:rPr>
              <w:t>«__» ______________ 20___ года</w:t>
            </w:r>
          </w:p>
        </w:tc>
        <w:tc>
          <w:tcPr>
            <w:tcW w:w="198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 И. О.)</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84ec19920bfa4c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